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INHALTSVERZEICHNIS</w:t>
      </w:r>
    </w:p>
    <w:p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  <w:lang w:val="de-AT" w:eastAsia="de-AT"/>
        </w:rPr>
      </w:pPr>
      <w:r>
        <w:fldChar w:fldCharType="begin"/>
      </w:r>
      <w:r>
        <w:instrText xml:space="preserve"> TOC \h \z \t "Überschrift 1a;1" </w:instrText>
      </w:r>
      <w:r>
        <w:fldChar w:fldCharType="separate"/>
      </w:r>
      <w:hyperlink w:anchor="_Toc58244584" w:history="1">
        <w:r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  <w:lang w:val="de-AT" w:eastAsia="de-AT"/>
          </w:rPr>
          <w:tab/>
        </w:r>
        <w:r>
          <w:rPr>
            <w:rStyle w:val="Hyperlink"/>
            <w:noProof/>
          </w:rPr>
          <w:t>Allgemeines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_Toc58244584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  <w:lang w:val="de-AT" w:eastAsia="de-AT"/>
        </w:rPr>
      </w:pPr>
      <w:hyperlink w:anchor="_Toc58244585" w:history="1">
        <w:r>
          <w:rPr>
            <w:rStyle w:val="Hyperlink"/>
            <w:bCs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  <w:lang w:val="de-AT" w:eastAsia="de-AT"/>
          </w:rPr>
          <w:tab/>
        </w:r>
        <w:r>
          <w:rPr>
            <w:rStyle w:val="Hyperlink"/>
            <w:bCs/>
            <w:noProof/>
          </w:rPr>
          <w:t>Bewilligungen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_Toc58244585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  <w:lang w:val="de-AT" w:eastAsia="de-AT"/>
        </w:rPr>
      </w:pPr>
      <w:hyperlink w:anchor="_Toc58244586" w:history="1">
        <w:r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  <w:lang w:val="de-AT" w:eastAsia="de-AT"/>
          </w:rPr>
          <w:tab/>
        </w:r>
        <w:r>
          <w:rPr>
            <w:rStyle w:val="Hyperlink"/>
            <w:noProof/>
          </w:rPr>
          <w:t>Förderungen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_Toc58244586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  <w:lang w:val="de-AT" w:eastAsia="de-AT"/>
        </w:rPr>
      </w:pPr>
      <w:hyperlink w:anchor="_Toc58244587" w:history="1">
        <w:r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  <w:lang w:val="de-AT" w:eastAsia="de-AT"/>
          </w:rPr>
          <w:tab/>
        </w:r>
        <w:r>
          <w:rPr>
            <w:rStyle w:val="Hyperlink"/>
            <w:noProof/>
          </w:rPr>
          <w:t>Ausführungszeitraum (tatsächliche Termine)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_Toc58244587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  <w:lang w:val="de-AT" w:eastAsia="de-AT"/>
        </w:rPr>
      </w:pPr>
      <w:hyperlink w:anchor="_Toc58244588" w:history="1">
        <w:r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  <w:lang w:val="de-AT" w:eastAsia="de-AT"/>
          </w:rPr>
          <w:tab/>
        </w:r>
        <w:r>
          <w:rPr>
            <w:rStyle w:val="Hyperlink"/>
            <w:noProof/>
          </w:rPr>
          <w:t>Ausführung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_Toc58244588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  <w:lang w:val="de-AT" w:eastAsia="de-AT"/>
        </w:rPr>
      </w:pPr>
      <w:hyperlink w:anchor="_Toc58244589" w:history="1">
        <w:r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  <w:lang w:val="de-AT" w:eastAsia="de-AT"/>
          </w:rPr>
          <w:tab/>
        </w:r>
        <w:r>
          <w:rPr>
            <w:rStyle w:val="Hyperlink"/>
            <w:noProof/>
          </w:rPr>
          <w:t>Ausschreibung – Vergabe – Abrechnung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_Toc58244589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  <w:lang w:val="de-AT" w:eastAsia="de-AT"/>
        </w:rPr>
      </w:pPr>
      <w:hyperlink w:anchor="_Toc58244590" w:history="1">
        <w:r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  <w:lang w:val="de-AT" w:eastAsia="de-AT"/>
          </w:rPr>
          <w:tab/>
        </w:r>
        <w:r>
          <w:rPr>
            <w:rStyle w:val="Hyperlink"/>
            <w:noProof/>
          </w:rPr>
          <w:t>Kosten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_Toc58244590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>
      <w:pPr>
        <w:pStyle w:val="Verzeichnis1"/>
        <w:rPr>
          <w:rFonts w:asciiTheme="minorHAnsi" w:eastAsiaTheme="minorEastAsia" w:hAnsiTheme="minorHAnsi" w:cstheme="minorBidi"/>
          <w:b w:val="0"/>
          <w:noProof/>
          <w:spacing w:val="0"/>
          <w:szCs w:val="22"/>
          <w:lang w:val="de-AT" w:eastAsia="de-AT"/>
        </w:rPr>
      </w:pPr>
      <w:hyperlink w:anchor="_Toc58244591" w:history="1">
        <w:r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noProof/>
            <w:spacing w:val="0"/>
            <w:szCs w:val="22"/>
            <w:lang w:val="de-AT" w:eastAsia="de-AT"/>
          </w:rPr>
          <w:tab/>
        </w:r>
        <w:r>
          <w:rPr>
            <w:rStyle w:val="Hyperlink"/>
            <w:noProof/>
          </w:rPr>
          <w:t>Stellungnahmen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_Toc58244591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>
      <w:pPr>
        <w:tabs>
          <w:tab w:val="left" w:pos="709"/>
          <w:tab w:val="left" w:pos="1843"/>
        </w:tabs>
        <w:spacing w:before="120"/>
        <w:rPr>
          <w:rFonts w:ascii="Arial" w:hAnsi="Arial"/>
        </w:rPr>
      </w:pPr>
      <w:r>
        <w:rPr>
          <w:rFonts w:ascii="Arial" w:hAnsi="Arial"/>
        </w:rPr>
        <w:fldChar w:fldCharType="end"/>
      </w:r>
    </w:p>
    <w:p>
      <w:pPr>
        <w:tabs>
          <w:tab w:val="left" w:pos="709"/>
          <w:tab w:val="left" w:pos="1843"/>
        </w:tabs>
        <w:spacing w:before="120"/>
        <w:rPr>
          <w:rFonts w:ascii="Arial" w:hAnsi="Arial"/>
        </w:rPr>
      </w:pPr>
    </w:p>
    <w:p>
      <w:pPr>
        <w:pStyle w:val="berschrift1a"/>
        <w:rPr>
          <w:rFonts w:ascii="Arial" w:hAnsi="Arial"/>
        </w:rPr>
      </w:pPr>
    </w:p>
    <w:p>
      <w:pPr>
        <w:pStyle w:val="berschrift1a"/>
        <w:rPr>
          <w:rFonts w:ascii="Arial" w:hAnsi="Arial"/>
        </w:rPr>
      </w:pPr>
      <w:bookmarkStart w:id="0" w:name="_Toc58244584"/>
      <w:r>
        <w:rPr>
          <w:rFonts w:ascii="Arial" w:hAnsi="Arial"/>
        </w:rPr>
        <w:t>1.</w:t>
      </w:r>
      <w:r>
        <w:rPr>
          <w:rFonts w:ascii="Arial" w:hAnsi="Arial"/>
        </w:rPr>
        <w:tab/>
        <w:t>Allgemeines</w:t>
      </w:r>
      <w:bookmarkEnd w:id="0"/>
    </w:p>
    <w:p>
      <w:pPr>
        <w:pStyle w:val="berschrift1a"/>
        <w:rPr>
          <w:rFonts w:ascii="Arial" w:hAnsi="Arial"/>
        </w:rPr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Bauherr, Betreiber und Förderungsnehmer</w:t>
      </w:r>
      <w:bookmarkStart w:id="1" w:name="_GoBack"/>
      <w:bookmarkEnd w:id="1"/>
    </w:p>
    <w:p>
      <w:pPr>
        <w:pStyle w:val="FormatvorlagestandardeinzugArial"/>
      </w:pPr>
    </w:p>
    <w:p>
      <w:pPr>
        <w:pStyle w:val="FormatvorlagestandardeinzugArial"/>
      </w:pPr>
      <w:r>
        <w:t xml:space="preserve">Name / Adresse </w:t>
      </w:r>
    </w:p>
    <w:p>
      <w:pPr>
        <w:pStyle w:val="FormatvorlagestandardeinzugArial"/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1.2</w:t>
      </w:r>
      <w:r>
        <w:rPr>
          <w:rFonts w:ascii="Arial" w:hAnsi="Arial"/>
        </w:rPr>
        <w:tab/>
        <w:t>Bezeichnung der Anlage</w:t>
      </w:r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 xml:space="preserve">&lt; Bezeichnung des Bauabschnittes </w:t>
      </w: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Errichtung / Sanierung / Anpassung / Leitungsinformationssystem &gt;</w:t>
      </w:r>
    </w:p>
    <w:p>
      <w:pPr>
        <w:pStyle w:val="FormatvorlagestandardeinzugArial"/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1.3</w:t>
      </w:r>
      <w:r>
        <w:rPr>
          <w:rFonts w:ascii="Arial" w:hAnsi="Arial"/>
        </w:rPr>
        <w:tab/>
        <w:t>Planung der Anlagenteile</w:t>
      </w:r>
    </w:p>
    <w:p>
      <w:pPr>
        <w:pStyle w:val="FormatvorlagestandardeinzugArial"/>
      </w:pPr>
    </w:p>
    <w:p>
      <w:pPr>
        <w:pStyle w:val="FormatvorlagestandardeinzugArial"/>
      </w:pPr>
      <w:r>
        <w:t xml:space="preserve">Name / Adresse </w:t>
      </w:r>
    </w:p>
    <w:p>
      <w:pPr>
        <w:pStyle w:val="FormatvorlagestandardeinzugArial"/>
      </w:pPr>
      <w:r>
        <w:t>Bezeichnung des Einreichprojektes</w:t>
      </w:r>
    </w:p>
    <w:p>
      <w:pPr>
        <w:pStyle w:val="FormatvorlagestandardeinzugArial"/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1.4</w:t>
      </w:r>
      <w:r>
        <w:rPr>
          <w:rFonts w:ascii="Arial" w:hAnsi="Arial"/>
        </w:rPr>
        <w:tab/>
        <w:t>Örtliche Bauaufsicht</w:t>
      </w:r>
    </w:p>
    <w:p>
      <w:pPr>
        <w:pStyle w:val="FormatvorlagestandardeinzugArial"/>
      </w:pPr>
    </w:p>
    <w:p>
      <w:pPr>
        <w:pStyle w:val="FormatvorlagestandardeinzugArial"/>
      </w:pPr>
      <w:r>
        <w:t xml:space="preserve">Name / Adresse </w:t>
      </w:r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</w:p>
    <w:p>
      <w:pPr>
        <w:pStyle w:val="berschrift1a"/>
        <w:rPr>
          <w:rFonts w:ascii="Arial" w:hAnsi="Arial"/>
          <w:bCs/>
        </w:rPr>
      </w:pPr>
      <w:bookmarkStart w:id="2" w:name="_Toc58244585"/>
      <w:r>
        <w:rPr>
          <w:rFonts w:ascii="Arial" w:hAnsi="Arial"/>
          <w:bCs/>
        </w:rPr>
        <w:t>2.</w:t>
      </w:r>
      <w:r>
        <w:rPr>
          <w:rFonts w:ascii="Arial" w:hAnsi="Arial"/>
          <w:bCs/>
        </w:rPr>
        <w:tab/>
        <w:t>Bewilligungen</w:t>
      </w:r>
      <w:bookmarkEnd w:id="2"/>
    </w:p>
    <w:p>
      <w:pPr>
        <w:pStyle w:val="FormatvorlagestandardeinzugArial"/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2.1</w:t>
      </w:r>
      <w:r>
        <w:rPr>
          <w:rFonts w:ascii="Arial" w:hAnsi="Arial"/>
        </w:rPr>
        <w:tab/>
        <w:t>Wasserrecht</w:t>
      </w:r>
    </w:p>
    <w:p>
      <w:pPr>
        <w:pStyle w:val="FormatvorlagestandardeinzugArial"/>
        <w:rPr>
          <w:i/>
        </w:rPr>
      </w:pPr>
    </w:p>
    <w:p>
      <w:pPr>
        <w:pStyle w:val="FormatvorlagestandardeinzugArial"/>
        <w:rPr>
          <w:i/>
        </w:rPr>
      </w:pPr>
      <w:r>
        <w:rPr>
          <w:i/>
        </w:rPr>
        <w:t xml:space="preserve">&lt; alle für den BA relevanten </w:t>
      </w:r>
      <w:proofErr w:type="gramStart"/>
      <w:r>
        <w:rPr>
          <w:i/>
        </w:rPr>
        <w:t>wasserrechtlichen  Bewilligungsbescheide</w:t>
      </w:r>
      <w:proofErr w:type="gramEnd"/>
      <w:r>
        <w:rPr>
          <w:i/>
        </w:rPr>
        <w:t xml:space="preserve"> anführen oder Hinweis, wenn keine Bewilligung erforderlich ist (z.B. bei Sanierungs-BA, LIS) &gt;</w:t>
      </w:r>
    </w:p>
    <w:p>
      <w:pPr>
        <w:pStyle w:val="FormatvorlagestandardeinzugArial"/>
        <w:rPr>
          <w:i/>
        </w:rPr>
      </w:pPr>
    </w:p>
    <w:p>
      <w:pPr>
        <w:pStyle w:val="FormatvorlagestandardeinzugArial"/>
      </w:pPr>
      <w:r>
        <w:t xml:space="preserve">Wasserrechtlicher Bewilligungsbescheid: BH XXXXX / LH von NÖ, </w:t>
      </w:r>
      <w:proofErr w:type="spellStart"/>
      <w:r>
        <w:t>Zl</w:t>
      </w:r>
      <w:proofErr w:type="spellEnd"/>
      <w:r>
        <w:t xml:space="preserve">. XXXX vom </w:t>
      </w:r>
      <w:proofErr w:type="gramStart"/>
      <w:r>
        <w:t>XX.XX.XXXX .</w:t>
      </w:r>
      <w:proofErr w:type="gramEnd"/>
    </w:p>
    <w:p>
      <w:pPr>
        <w:pStyle w:val="FormatvorlagestandardeinzugArial"/>
      </w:pPr>
    </w:p>
    <w:p>
      <w:pPr>
        <w:pStyle w:val="FormatvorlagestandardeinzugArial"/>
      </w:pPr>
      <w:r>
        <w:t xml:space="preserve">Wasserrechtlicher Überprüfungsbescheid: BH XXXXX / LH von NÖ, </w:t>
      </w:r>
      <w:proofErr w:type="spellStart"/>
      <w:r>
        <w:t>Zl</w:t>
      </w:r>
      <w:proofErr w:type="spellEnd"/>
      <w:r>
        <w:t xml:space="preserve">. XXXX vom </w:t>
      </w:r>
      <w:proofErr w:type="gramStart"/>
      <w:r>
        <w:t>XX.XX.XXXX .</w:t>
      </w:r>
      <w:proofErr w:type="gramEnd"/>
    </w:p>
    <w:p>
      <w:pPr>
        <w:pStyle w:val="FormatvorlagestandardeinzugArial"/>
        <w:rPr>
          <w:i/>
        </w:rPr>
      </w:pPr>
      <w:r>
        <w:rPr>
          <w:i/>
        </w:rPr>
        <w:t>&lt; wenn Bescheid noch nicht vorhanden, Angaben wann die wasserrechtliche Überprüfung beantragt wurde und Bestätigung, dass die Auflagen und Bedingungen der wasserrechtlichen Bewilligung eingehalten wurden &gt;</w:t>
      </w:r>
    </w:p>
    <w:p>
      <w:pPr>
        <w:pStyle w:val="FormatvorlagestandardeinzugArial"/>
      </w:pPr>
    </w:p>
    <w:p>
      <w:pPr>
        <w:pStyle w:val="FormatvorlagestandardeinzugArial"/>
        <w:rPr>
          <w:i/>
        </w:rPr>
      </w:pPr>
      <w:r>
        <w:rPr>
          <w:i/>
        </w:rPr>
        <w:t>&lt; Beim Anzeigeverfahren: &gt;</w:t>
      </w:r>
    </w:p>
    <w:p>
      <w:pPr>
        <w:pStyle w:val="FormatvorlagestandardeinzugArial"/>
      </w:pPr>
      <w:r>
        <w:t>Anzeige an: BH XXXXX / LH von NÖ vom XX.XX.XXXX</w:t>
      </w:r>
    </w:p>
    <w:p>
      <w:pPr>
        <w:pStyle w:val="FormatvorlagestandardeinzugArial"/>
      </w:pPr>
      <w:r>
        <w:t>Ausführungsanzeige vom XX.XX.XXXX</w:t>
      </w:r>
    </w:p>
    <w:p>
      <w:pPr>
        <w:pStyle w:val="FormatvorlagestandardeinzugArial"/>
      </w:pPr>
    </w:p>
    <w:p>
      <w:pPr>
        <w:pStyle w:val="berschrift2a"/>
        <w:keepNext/>
        <w:rPr>
          <w:rFonts w:ascii="Arial" w:hAnsi="Arial"/>
        </w:rPr>
      </w:pPr>
      <w:r>
        <w:rPr>
          <w:rFonts w:ascii="Arial" w:hAnsi="Arial"/>
        </w:rPr>
        <w:t>2.2</w:t>
      </w:r>
      <w:r>
        <w:rPr>
          <w:rFonts w:ascii="Arial" w:hAnsi="Arial"/>
        </w:rPr>
        <w:tab/>
        <w:t>Öffentliches Wassergut</w:t>
      </w:r>
    </w:p>
    <w:p>
      <w:pPr>
        <w:pStyle w:val="FormatvorlagestandardeinzugArial"/>
        <w:keepNext/>
      </w:pPr>
    </w:p>
    <w:p>
      <w:pPr>
        <w:pStyle w:val="FormatvorlagestandardeinzugArial"/>
      </w:pPr>
      <w:r>
        <w:t>Bewilligung zur Benützung von öffentlichem Wassergut: &lt;</w:t>
      </w:r>
      <w:r>
        <w:rPr>
          <w:i/>
        </w:rPr>
        <w:t>Behörde, Zahl, Datum</w:t>
      </w:r>
      <w:r>
        <w:t>&gt;</w:t>
      </w:r>
    </w:p>
    <w:p>
      <w:pPr>
        <w:pStyle w:val="FormatvorlagestandardeinzugArial"/>
      </w:pPr>
    </w:p>
    <w:p>
      <w:pPr>
        <w:pStyle w:val="FormatvorlagestandardeinzugArial"/>
        <w:rPr>
          <w:i/>
        </w:rPr>
      </w:pPr>
      <w:r>
        <w:rPr>
          <w:i/>
        </w:rPr>
        <w:t>&lt; oder Hinweis, dass keine Bewilligung erforderlich war &gt;</w:t>
      </w:r>
    </w:p>
    <w:p>
      <w:pPr>
        <w:pStyle w:val="FormatvorlagestandardeinzugArial"/>
      </w:pPr>
    </w:p>
    <w:p>
      <w:pPr>
        <w:pStyle w:val="FormatvorlagestandardeinzugArial"/>
      </w:pPr>
    </w:p>
    <w:p>
      <w:pPr>
        <w:pStyle w:val="berschrift2a"/>
        <w:keepNext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  <w:t>Sonstige Bewilligungen</w:t>
      </w:r>
    </w:p>
    <w:p>
      <w:pPr>
        <w:pStyle w:val="FormatvorlagestandardeinzugArial"/>
        <w:keepNext/>
      </w:pPr>
    </w:p>
    <w:p>
      <w:pPr>
        <w:pStyle w:val="FormatvorlagestandardeinzugArial"/>
      </w:pPr>
      <w:r>
        <w:t xml:space="preserve">Baubehördliche Bewilligung: </w:t>
      </w:r>
      <w:r>
        <w:rPr>
          <w:i/>
        </w:rPr>
        <w:t>&lt;Behörde, Zahl, Datum&gt;</w:t>
      </w:r>
      <w:r>
        <w:t xml:space="preserve"> </w:t>
      </w:r>
    </w:p>
    <w:p>
      <w:pPr>
        <w:pStyle w:val="FormatvorlagestandardeinzugArial"/>
      </w:pPr>
    </w:p>
    <w:p>
      <w:pPr>
        <w:pStyle w:val="FormatvorlagestandardeinzugArial"/>
      </w:pPr>
      <w:r>
        <w:t>Bewilligung zur Benützung von Straßengrund: &lt;</w:t>
      </w:r>
      <w:r>
        <w:rPr>
          <w:i/>
        </w:rPr>
        <w:t>Behörde, Zahl, Datum</w:t>
      </w:r>
      <w:r>
        <w:t>&gt;</w:t>
      </w:r>
    </w:p>
    <w:p>
      <w:pPr>
        <w:pStyle w:val="FormatvorlagestandardeinzugArial"/>
      </w:pPr>
    </w:p>
    <w:p>
      <w:pPr>
        <w:pStyle w:val="FormatvorlagestandardeinzugArial"/>
      </w:pPr>
      <w:r>
        <w:t>Bewilligung nach Eisenbahngesetz: &lt;</w:t>
      </w:r>
      <w:r>
        <w:rPr>
          <w:i/>
        </w:rPr>
        <w:t>Behörde, Zahl, Datum</w:t>
      </w:r>
      <w:r>
        <w:t>&gt;</w:t>
      </w:r>
    </w:p>
    <w:p>
      <w:pPr>
        <w:pStyle w:val="FormatvorlagestandardeinzugArial"/>
      </w:pPr>
    </w:p>
    <w:p>
      <w:pPr>
        <w:pStyle w:val="FormatvorlagestandardeinzugArial"/>
        <w:rPr>
          <w:i/>
        </w:rPr>
      </w:pPr>
      <w:r>
        <w:rPr>
          <w:i/>
        </w:rPr>
        <w:t>&lt; oder Hinweis, dass keine Bewilligung erforderlich war &gt;</w:t>
      </w:r>
    </w:p>
    <w:p>
      <w:pPr>
        <w:pStyle w:val="FormatvorlagestandardeinzugArial"/>
      </w:pPr>
    </w:p>
    <w:p>
      <w:pPr>
        <w:pStyle w:val="FormatvorlagestandardeinzugArial"/>
      </w:pPr>
    </w:p>
    <w:p>
      <w:pPr>
        <w:pStyle w:val="berschrift1a"/>
        <w:rPr>
          <w:rFonts w:ascii="Arial" w:hAnsi="Arial"/>
        </w:rPr>
      </w:pPr>
      <w:bookmarkStart w:id="3" w:name="_Toc58244586"/>
      <w:r>
        <w:rPr>
          <w:rFonts w:ascii="Arial" w:hAnsi="Arial"/>
        </w:rPr>
        <w:t>3.</w:t>
      </w:r>
      <w:r>
        <w:rPr>
          <w:rFonts w:ascii="Arial" w:hAnsi="Arial"/>
        </w:rPr>
        <w:tab/>
        <w:t>Förderungen</w:t>
      </w:r>
      <w:bookmarkEnd w:id="3"/>
    </w:p>
    <w:p>
      <w:pPr>
        <w:pStyle w:val="FormatvorlagestandardeinzugArial"/>
      </w:pPr>
    </w:p>
    <w:p>
      <w:pPr>
        <w:pStyle w:val="FormatvorlagestandardeinzugArial"/>
        <w:jc w:val="left"/>
      </w:pPr>
      <w:r>
        <w:t xml:space="preserve">Einlangen der Förderansuchen beim Amt der NÖ Landesregierung: </w:t>
      </w:r>
      <w:proofErr w:type="gramStart"/>
      <w:r>
        <w:t>XX.XX.XXXX .</w:t>
      </w:r>
      <w:proofErr w:type="gramEnd"/>
    </w:p>
    <w:p>
      <w:pPr>
        <w:pStyle w:val="FormatvorlagestandardeinzugArial"/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Gemäß Umweltförderungsgesetz UFG 1993</w:t>
      </w:r>
    </w:p>
    <w:p>
      <w:pPr>
        <w:pStyle w:val="FormatvorlagestandardeinzugArial"/>
      </w:pPr>
    </w:p>
    <w:p>
      <w:pPr>
        <w:pStyle w:val="standardeinzug"/>
        <w:tabs>
          <w:tab w:val="left" w:pos="5387"/>
        </w:tabs>
        <w:rPr>
          <w:rFonts w:ascii="Arial" w:hAnsi="Arial"/>
        </w:rPr>
      </w:pPr>
      <w:r>
        <w:rPr>
          <w:rFonts w:ascii="Arial" w:hAnsi="Arial"/>
        </w:rPr>
        <w:t>Antragsnummer:</w:t>
      </w:r>
      <w:r>
        <w:rPr>
          <w:rFonts w:ascii="Arial" w:hAnsi="Arial"/>
        </w:rPr>
        <w:tab/>
        <w:t>XXX</w:t>
      </w:r>
    </w:p>
    <w:p>
      <w:pPr>
        <w:pStyle w:val="standardeinzug"/>
        <w:tabs>
          <w:tab w:val="left" w:pos="5387"/>
        </w:tabs>
        <w:rPr>
          <w:rFonts w:ascii="Arial" w:hAnsi="Arial"/>
        </w:rPr>
      </w:pPr>
      <w:r>
        <w:rPr>
          <w:rFonts w:ascii="Arial" w:hAnsi="Arial"/>
        </w:rPr>
        <w:t xml:space="preserve">Förderungsvertrag </w:t>
      </w:r>
      <w:proofErr w:type="gramStart"/>
      <w:r>
        <w:rPr>
          <w:rFonts w:ascii="Arial" w:hAnsi="Arial"/>
        </w:rPr>
        <w:t>Datum:</w:t>
      </w:r>
      <w:r>
        <w:rPr>
          <w:rFonts w:ascii="Arial" w:hAnsi="Arial"/>
        </w:rPr>
        <w:tab/>
        <w:t>XX.XX</w:t>
      </w:r>
      <w:proofErr w:type="gramEnd"/>
      <w:r>
        <w:rPr>
          <w:rFonts w:ascii="Arial" w:hAnsi="Arial"/>
        </w:rPr>
        <w:t>.XXXX</w:t>
      </w:r>
    </w:p>
    <w:p>
      <w:pPr>
        <w:pStyle w:val="standardeinzug"/>
        <w:tabs>
          <w:tab w:val="left" w:pos="5387"/>
          <w:tab w:val="decimal" w:pos="7088"/>
        </w:tabs>
        <w:spacing w:before="120"/>
        <w:rPr>
          <w:rFonts w:ascii="Arial" w:hAnsi="Arial"/>
        </w:rPr>
      </w:pPr>
      <w:r>
        <w:rPr>
          <w:rFonts w:ascii="Arial" w:hAnsi="Arial"/>
        </w:rPr>
        <w:t>Investitionskosten: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</w:p>
    <w:p>
      <w:pPr>
        <w:pStyle w:val="standardeinzug"/>
        <w:tabs>
          <w:tab w:val="left" w:pos="5387"/>
          <w:tab w:val="decimal" w:pos="7088"/>
        </w:tabs>
        <w:rPr>
          <w:rFonts w:ascii="Arial" w:hAnsi="Arial"/>
        </w:rPr>
      </w:pPr>
      <w:r>
        <w:rPr>
          <w:rFonts w:ascii="Arial" w:hAnsi="Arial"/>
        </w:rPr>
        <w:t xml:space="preserve">Fördersatz, </w:t>
      </w:r>
      <w:r>
        <w:rPr>
          <w:rFonts w:ascii="Arial" w:hAnsi="Arial"/>
          <w:iCs/>
        </w:rPr>
        <w:t>Art der Förderung:</w:t>
      </w:r>
      <w:r>
        <w:rPr>
          <w:rFonts w:ascii="Arial" w:hAnsi="Arial"/>
        </w:rPr>
        <w:tab/>
        <w:t>%,</w:t>
      </w:r>
      <w:r>
        <w:rPr>
          <w:rFonts w:ascii="Arial" w:hAnsi="Arial"/>
          <w:iCs/>
        </w:rPr>
        <w:t xml:space="preserve"> FZ / IZ </w:t>
      </w:r>
      <w:r>
        <w:rPr>
          <w:rFonts w:ascii="Arial" w:hAnsi="Arial"/>
          <w:i/>
        </w:rPr>
        <w:t>&lt; zutreffendes anführen &gt;</w:t>
      </w:r>
    </w:p>
    <w:p>
      <w:pPr>
        <w:pStyle w:val="standardeinzug"/>
        <w:tabs>
          <w:tab w:val="left" w:pos="5387"/>
          <w:tab w:val="decimal" w:pos="7088"/>
        </w:tabs>
        <w:spacing w:before="120"/>
        <w:rPr>
          <w:rFonts w:ascii="Arial" w:hAnsi="Arial"/>
        </w:rPr>
      </w:pPr>
      <w:r>
        <w:rPr>
          <w:rFonts w:ascii="Arial" w:hAnsi="Arial"/>
        </w:rPr>
        <w:t>Förderausmaß (%-Anteil):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</w:p>
    <w:p>
      <w:pPr>
        <w:pStyle w:val="standardeinzug"/>
        <w:tabs>
          <w:tab w:val="left" w:pos="5387"/>
          <w:tab w:val="decimal" w:pos="7088"/>
        </w:tabs>
        <w:rPr>
          <w:rFonts w:ascii="Arial" w:hAnsi="Arial"/>
        </w:rPr>
      </w:pPr>
      <w:r>
        <w:rPr>
          <w:rFonts w:ascii="Arial" w:hAnsi="Arial"/>
          <w:iCs/>
        </w:rPr>
        <w:t>Pauschale Leitungskataster: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EUR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</w:p>
    <w:p>
      <w:pPr>
        <w:pStyle w:val="standardeinzug"/>
        <w:tabs>
          <w:tab w:val="left" w:pos="5387"/>
          <w:tab w:val="decimal" w:pos="7088"/>
        </w:tabs>
        <w:rPr>
          <w:rFonts w:ascii="Arial" w:hAnsi="Arial"/>
          <w:b/>
        </w:rPr>
      </w:pPr>
      <w:r>
        <w:rPr>
          <w:rFonts w:ascii="Arial" w:hAnsi="Arial"/>
          <w:b/>
        </w:rPr>
        <w:t>Förderbarwert UFG gesamt:</w:t>
      </w:r>
      <w:r>
        <w:rPr>
          <w:rFonts w:ascii="Arial" w:hAnsi="Arial"/>
          <w:b/>
        </w:rPr>
        <w:tab/>
        <w:t>EUR</w:t>
      </w:r>
      <w:r>
        <w:rPr>
          <w:rFonts w:ascii="Arial" w:hAnsi="Arial"/>
          <w:b/>
        </w:rPr>
        <w:tab/>
      </w:r>
    </w:p>
    <w:p>
      <w:pPr>
        <w:pStyle w:val="FormatvorlagestandardeinzugArial"/>
      </w:pPr>
    </w:p>
    <w:p>
      <w:pPr>
        <w:pStyle w:val="berschrift2a"/>
        <w:keepNext/>
        <w:rPr>
          <w:rFonts w:ascii="Arial" w:hAnsi="Arial"/>
        </w:rPr>
      </w:pPr>
      <w:r>
        <w:rPr>
          <w:rFonts w:ascii="Arial" w:hAnsi="Arial"/>
        </w:rPr>
        <w:lastRenderedPageBreak/>
        <w:t>3.2</w:t>
      </w:r>
      <w:r>
        <w:rPr>
          <w:rFonts w:ascii="Arial" w:hAnsi="Arial"/>
        </w:rPr>
        <w:tab/>
        <w:t>Gemäß NÖ Wasserwirtschaftsfondsgesetz</w:t>
      </w:r>
    </w:p>
    <w:p>
      <w:pPr>
        <w:pStyle w:val="FormatvorlagestandardeinzugArial"/>
        <w:keepNext/>
        <w:rPr>
          <w:i/>
        </w:rPr>
      </w:pPr>
      <w:r>
        <w:rPr>
          <w:i/>
        </w:rPr>
        <w:t xml:space="preserve">&lt; Wenn ab September 2022 die Zusicherung getrennte Angaben für Versorgungssicherheit, Versickerung/Retention oder </w:t>
      </w:r>
      <w:proofErr w:type="spellStart"/>
      <w:r>
        <w:rPr>
          <w:i/>
        </w:rPr>
        <w:t>Blackoutvorsorge</w:t>
      </w:r>
      <w:proofErr w:type="spellEnd"/>
      <w:r>
        <w:rPr>
          <w:i/>
        </w:rPr>
        <w:t>-Maßnahmen enthält, in Tabelle bitte die entsprechenden Zeilen einfügen &gt;</w:t>
      </w:r>
    </w:p>
    <w:p>
      <w:pPr>
        <w:pStyle w:val="FormatvorlagestandardeinzugArial"/>
        <w:keepNext/>
      </w:pPr>
    </w:p>
    <w:p>
      <w:pPr>
        <w:pStyle w:val="standardeinzug"/>
        <w:keepNext/>
        <w:tabs>
          <w:tab w:val="left" w:pos="3119"/>
          <w:tab w:val="left" w:pos="5387"/>
        </w:tabs>
        <w:rPr>
          <w:rFonts w:ascii="Arial" w:hAnsi="Arial"/>
        </w:rPr>
      </w:pPr>
      <w:r>
        <w:rPr>
          <w:rFonts w:ascii="Arial" w:hAnsi="Arial"/>
        </w:rPr>
        <w:t xml:space="preserve">Zusicherung NÖ WWF </w:t>
      </w:r>
      <w:r>
        <w:rPr>
          <w:rFonts w:ascii="Arial" w:hAnsi="Arial"/>
        </w:rPr>
        <w:tab/>
        <w:t>Zahl:</w:t>
      </w:r>
      <w:r>
        <w:rPr>
          <w:rFonts w:ascii="Arial" w:hAnsi="Arial"/>
        </w:rPr>
        <w:tab/>
        <w:t>XXX</w:t>
      </w:r>
      <w:r>
        <w:rPr>
          <w:rFonts w:ascii="Arial" w:hAnsi="Arial"/>
        </w:rPr>
        <w:tab/>
      </w:r>
    </w:p>
    <w:p>
      <w:pPr>
        <w:pStyle w:val="standardeinzug"/>
        <w:keepNext/>
        <w:tabs>
          <w:tab w:val="left" w:pos="3119"/>
          <w:tab w:val="left" w:pos="5387"/>
        </w:tabs>
        <w:rPr>
          <w:rFonts w:ascii="Arial" w:hAnsi="Arial"/>
        </w:rPr>
      </w:pPr>
      <w:r>
        <w:rPr>
          <w:rFonts w:ascii="Arial" w:hAnsi="Arial"/>
          <w:i/>
        </w:rPr>
        <w:tab/>
      </w:r>
      <w:proofErr w:type="gramStart"/>
      <w:r>
        <w:rPr>
          <w:rFonts w:ascii="Arial" w:hAnsi="Arial"/>
        </w:rPr>
        <w:t>Datum:</w:t>
      </w:r>
      <w:r>
        <w:rPr>
          <w:rFonts w:ascii="Arial" w:hAnsi="Arial"/>
        </w:rPr>
        <w:tab/>
        <w:t>XX.XX</w:t>
      </w:r>
      <w:proofErr w:type="gramEnd"/>
      <w:r>
        <w:rPr>
          <w:rFonts w:ascii="Arial" w:hAnsi="Arial"/>
        </w:rPr>
        <w:t>.XXXX</w:t>
      </w:r>
      <w:r>
        <w:rPr>
          <w:rFonts w:ascii="Arial" w:hAnsi="Arial"/>
        </w:rPr>
        <w:tab/>
      </w:r>
    </w:p>
    <w:p>
      <w:pPr>
        <w:pStyle w:val="standardeinzug"/>
        <w:tabs>
          <w:tab w:val="left" w:pos="5387"/>
          <w:tab w:val="decimal" w:pos="7088"/>
        </w:tabs>
        <w:spacing w:before="120"/>
        <w:rPr>
          <w:rFonts w:ascii="Arial" w:hAnsi="Arial"/>
        </w:rPr>
      </w:pPr>
      <w:r>
        <w:rPr>
          <w:rFonts w:ascii="Arial" w:hAnsi="Arial"/>
        </w:rPr>
        <w:t>Investitionskosten: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</w:p>
    <w:p>
      <w:pPr>
        <w:pStyle w:val="standardeinzug"/>
        <w:tabs>
          <w:tab w:val="left" w:pos="5387"/>
        </w:tabs>
        <w:rPr>
          <w:rFonts w:ascii="Arial" w:hAnsi="Arial"/>
        </w:rPr>
      </w:pPr>
      <w:r>
        <w:rPr>
          <w:rFonts w:ascii="Arial" w:hAnsi="Arial"/>
        </w:rPr>
        <w:t>Fördersatz:</w:t>
      </w:r>
      <w:r>
        <w:rPr>
          <w:rFonts w:ascii="Arial" w:hAnsi="Arial"/>
        </w:rPr>
        <w:tab/>
        <w:t>%</w:t>
      </w:r>
      <w:r>
        <w:rPr>
          <w:rFonts w:ascii="Arial" w:hAnsi="Arial"/>
        </w:rPr>
        <w:tab/>
      </w:r>
    </w:p>
    <w:p>
      <w:pPr>
        <w:pStyle w:val="standardeinzug"/>
        <w:tabs>
          <w:tab w:val="left" w:pos="5387"/>
          <w:tab w:val="decimal" w:pos="7088"/>
        </w:tabs>
        <w:spacing w:before="120"/>
        <w:rPr>
          <w:rFonts w:ascii="Arial" w:hAnsi="Arial"/>
        </w:rPr>
      </w:pPr>
      <w:r>
        <w:rPr>
          <w:rFonts w:ascii="Arial" w:hAnsi="Arial"/>
        </w:rPr>
        <w:t>Förderbetrag (%-Anteil):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</w:p>
    <w:p>
      <w:pPr>
        <w:pStyle w:val="standardeinzug"/>
        <w:tabs>
          <w:tab w:val="left" w:pos="5387"/>
          <w:tab w:val="decimal" w:pos="7088"/>
        </w:tabs>
        <w:rPr>
          <w:rFonts w:ascii="Arial" w:hAnsi="Arial"/>
        </w:rPr>
      </w:pPr>
      <w:r>
        <w:rPr>
          <w:rFonts w:ascii="Arial" w:hAnsi="Arial"/>
          <w:iCs/>
        </w:rPr>
        <w:t>Pauschale Leitungskataster: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EUR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</w:p>
    <w:p>
      <w:pPr>
        <w:pStyle w:val="standardeinzug"/>
        <w:tabs>
          <w:tab w:val="left" w:pos="5387"/>
          <w:tab w:val="decimal" w:pos="7088"/>
        </w:tabs>
        <w:rPr>
          <w:rFonts w:ascii="Arial" w:hAnsi="Arial"/>
        </w:rPr>
      </w:pPr>
      <w:r>
        <w:rPr>
          <w:rFonts w:ascii="Arial" w:hAnsi="Arial"/>
          <w:b/>
        </w:rPr>
        <w:t>Förderbetrag NÖ WWF gesamt:</w:t>
      </w:r>
      <w:r>
        <w:rPr>
          <w:rFonts w:ascii="Arial" w:hAnsi="Arial"/>
          <w:b/>
        </w:rPr>
        <w:tab/>
        <w:t>EUR</w:t>
      </w:r>
      <w:r>
        <w:rPr>
          <w:rFonts w:ascii="Arial" w:hAnsi="Arial"/>
          <w:b/>
        </w:rPr>
        <w:tab/>
      </w:r>
    </w:p>
    <w:p>
      <w:pPr>
        <w:pStyle w:val="FormatvorlagestandardeinzugArial"/>
      </w:pPr>
    </w:p>
    <w:p>
      <w:pPr>
        <w:pStyle w:val="FormatvorlagestandardeinzugArial"/>
      </w:pPr>
      <w:r>
        <w:t xml:space="preserve">&lt; </w:t>
      </w:r>
      <w:r>
        <w:rPr>
          <w:i/>
        </w:rPr>
        <w:t>Wenn keine Förderung vom NÖ WWF gewährt wird, stattdessen:</w:t>
      </w:r>
      <w:r>
        <w:t xml:space="preserve"> </w:t>
      </w:r>
    </w:p>
    <w:p>
      <w:pPr>
        <w:pStyle w:val="FormatvorlagestandardeinzugArial"/>
        <w:rPr>
          <w:i/>
        </w:rPr>
      </w:pPr>
      <w:r>
        <w:rPr>
          <w:i/>
        </w:rPr>
        <w:t>Schreiben des NÖ WWF, dass keine zusätzliche Förderung gewährt wird</w:t>
      </w:r>
    </w:p>
    <w:p>
      <w:pPr>
        <w:pStyle w:val="standardeinzug"/>
        <w:tabs>
          <w:tab w:val="left" w:pos="3119"/>
          <w:tab w:val="left" w:pos="5387"/>
        </w:tabs>
        <w:rPr>
          <w:rFonts w:ascii="Arial" w:hAnsi="Arial"/>
          <w:i/>
        </w:rPr>
      </w:pPr>
      <w:r>
        <w:rPr>
          <w:rFonts w:ascii="Arial" w:hAnsi="Arial"/>
          <w:i/>
        </w:rPr>
        <w:tab/>
        <w:t>Zahl:</w:t>
      </w:r>
      <w:r>
        <w:rPr>
          <w:rFonts w:ascii="Arial" w:hAnsi="Arial"/>
          <w:i/>
        </w:rPr>
        <w:tab/>
        <w:t>XXX</w:t>
      </w:r>
      <w:r>
        <w:rPr>
          <w:rFonts w:ascii="Arial" w:hAnsi="Arial"/>
          <w:i/>
        </w:rPr>
        <w:tab/>
      </w:r>
    </w:p>
    <w:p>
      <w:pPr>
        <w:pStyle w:val="standardeinzug"/>
        <w:tabs>
          <w:tab w:val="left" w:pos="3119"/>
          <w:tab w:val="left" w:pos="5387"/>
        </w:tabs>
        <w:rPr>
          <w:rFonts w:ascii="Arial" w:hAnsi="Arial"/>
        </w:rPr>
      </w:pPr>
      <w:r>
        <w:rPr>
          <w:rFonts w:ascii="Arial" w:hAnsi="Arial"/>
          <w:i/>
        </w:rPr>
        <w:tab/>
      </w:r>
      <w:proofErr w:type="gramStart"/>
      <w:r>
        <w:rPr>
          <w:rFonts w:ascii="Arial" w:hAnsi="Arial"/>
          <w:i/>
        </w:rPr>
        <w:t>Datum:</w:t>
      </w:r>
      <w:r>
        <w:rPr>
          <w:rFonts w:ascii="Arial" w:hAnsi="Arial"/>
          <w:i/>
        </w:rPr>
        <w:tab/>
        <w:t>XX.XX</w:t>
      </w:r>
      <w:proofErr w:type="gramEnd"/>
      <w:r>
        <w:rPr>
          <w:rFonts w:ascii="Arial" w:hAnsi="Arial"/>
          <w:i/>
        </w:rPr>
        <w:t>.XXXX</w:t>
      </w:r>
      <w:r>
        <w:rPr>
          <w:rFonts w:ascii="Arial" w:hAnsi="Arial"/>
          <w:i/>
        </w:rPr>
        <w:tab/>
        <w:t>&gt;</w:t>
      </w:r>
      <w:r>
        <w:rPr>
          <w:rFonts w:ascii="Arial" w:hAnsi="Arial"/>
        </w:rPr>
        <w:tab/>
      </w:r>
    </w:p>
    <w:p>
      <w:pPr>
        <w:pStyle w:val="FormatvorlagestandardeinzugArial"/>
        <w:rPr>
          <w:i/>
        </w:rPr>
      </w:pPr>
    </w:p>
    <w:p>
      <w:pPr>
        <w:pStyle w:val="FormatvorlagestandardeinzugArial"/>
        <w:rPr>
          <w:i/>
        </w:rPr>
      </w:pPr>
      <w:r>
        <w:rPr>
          <w:i/>
        </w:rPr>
        <w:t>&lt; Allenfalls Hinweis, dass kein Förderansuchen an den NÖ WWF gestellt wurde&gt;</w:t>
      </w:r>
    </w:p>
    <w:p>
      <w:pPr>
        <w:pStyle w:val="FormatvorlagestandardeinzugArial"/>
        <w:rPr>
          <w:i/>
        </w:rPr>
      </w:pPr>
    </w:p>
    <w:p>
      <w:pPr>
        <w:pStyle w:val="berschrift2a"/>
      </w:pPr>
      <w:r>
        <w:rPr>
          <w:rFonts w:ascii="Arial" w:hAnsi="Arial"/>
        </w:rPr>
        <w:t>3.3</w:t>
      </w:r>
      <w:r>
        <w:rPr>
          <w:rFonts w:ascii="Arial" w:hAnsi="Arial"/>
        </w:rPr>
        <w:tab/>
        <w:t>Sonstige Förderungen</w:t>
      </w:r>
    </w:p>
    <w:p>
      <w:pPr>
        <w:pStyle w:val="standardeinzug"/>
        <w:tabs>
          <w:tab w:val="left" w:pos="3119"/>
          <w:tab w:val="left" w:pos="5387"/>
        </w:tabs>
        <w:rPr>
          <w:rFonts w:ascii="Arial" w:hAnsi="Arial"/>
        </w:rPr>
      </w:pPr>
    </w:p>
    <w:p>
      <w:pPr>
        <w:pStyle w:val="standardeinzug"/>
        <w:tabs>
          <w:tab w:val="left" w:pos="3119"/>
          <w:tab w:val="left" w:pos="5387"/>
        </w:tabs>
        <w:rPr>
          <w:rFonts w:ascii="Arial" w:hAnsi="Arial"/>
          <w:i/>
        </w:rPr>
      </w:pPr>
      <w:r>
        <w:rPr>
          <w:rFonts w:ascii="Arial" w:hAnsi="Arial"/>
          <w:i/>
        </w:rPr>
        <w:t>&lt; Eckdaten (Förderstelle / Förderschiene, Geschäfts-Zahl, Investitionskosten, Förderhöhe) von anderen Förderungen, die ganz oder teilweise diesem BA zugeordnet sind (z.B. KIG 2017, KIG 2020).</w:t>
      </w:r>
    </w:p>
    <w:p>
      <w:pPr>
        <w:pStyle w:val="FormatvorlagestandardeinzugArial"/>
      </w:pPr>
    </w:p>
    <w:p>
      <w:pPr>
        <w:pStyle w:val="FormatvorlagestandardeinzugArial"/>
      </w:pPr>
    </w:p>
    <w:p>
      <w:pPr>
        <w:pStyle w:val="berschrift1a"/>
        <w:keepNext/>
        <w:rPr>
          <w:rFonts w:ascii="Arial" w:hAnsi="Arial"/>
        </w:rPr>
      </w:pPr>
      <w:bookmarkStart w:id="4" w:name="_Toc58244587"/>
      <w:r>
        <w:rPr>
          <w:rFonts w:ascii="Arial" w:hAnsi="Arial"/>
        </w:rPr>
        <w:t>4.</w:t>
      </w:r>
      <w:r>
        <w:rPr>
          <w:rFonts w:ascii="Arial" w:hAnsi="Arial"/>
        </w:rPr>
        <w:tab/>
        <w:t>Ausführungszeitraum (tatsächliche Termine)</w:t>
      </w:r>
      <w:bookmarkEnd w:id="4"/>
    </w:p>
    <w:p>
      <w:pPr>
        <w:pStyle w:val="FormatvorlagestandardeinzugArial"/>
        <w:keepNext/>
      </w:pPr>
    </w:p>
    <w:p>
      <w:pPr>
        <w:pStyle w:val="standardeinzug"/>
        <w:keepNext/>
        <w:numPr>
          <w:ilvl w:val="1"/>
          <w:numId w:val="13"/>
        </w:numPr>
        <w:tabs>
          <w:tab w:val="clear" w:pos="1789"/>
          <w:tab w:val="num" w:pos="1134"/>
          <w:tab w:val="left" w:pos="7088"/>
        </w:tabs>
        <w:ind w:left="993" w:hanging="284"/>
        <w:rPr>
          <w:rFonts w:ascii="Arial" w:hAnsi="Arial"/>
        </w:rPr>
      </w:pPr>
      <w:proofErr w:type="gramStart"/>
      <w:r>
        <w:rPr>
          <w:rFonts w:ascii="Arial" w:hAnsi="Arial"/>
        </w:rPr>
        <w:t>Baubeginn:</w:t>
      </w:r>
      <w:r>
        <w:rPr>
          <w:rFonts w:ascii="Arial" w:hAnsi="Arial"/>
        </w:rPr>
        <w:tab/>
        <w:t>XX.XX</w:t>
      </w:r>
      <w:proofErr w:type="gramEnd"/>
      <w:r>
        <w:rPr>
          <w:rFonts w:ascii="Arial" w:hAnsi="Arial"/>
        </w:rPr>
        <w:t>.XXXX</w:t>
      </w:r>
    </w:p>
    <w:p>
      <w:pPr>
        <w:pStyle w:val="standardeinzug"/>
        <w:keepNext/>
        <w:numPr>
          <w:ilvl w:val="1"/>
          <w:numId w:val="13"/>
        </w:numPr>
        <w:tabs>
          <w:tab w:val="clear" w:pos="1789"/>
          <w:tab w:val="num" w:pos="1134"/>
          <w:tab w:val="left" w:pos="7088"/>
        </w:tabs>
        <w:ind w:left="993" w:hanging="284"/>
        <w:rPr>
          <w:rFonts w:ascii="Arial" w:hAnsi="Arial"/>
        </w:rPr>
      </w:pPr>
      <w:proofErr w:type="gramStart"/>
      <w:r>
        <w:rPr>
          <w:rFonts w:ascii="Arial" w:hAnsi="Arial"/>
        </w:rPr>
        <w:t>Funktionsfähigkeit:</w:t>
      </w:r>
      <w:r>
        <w:rPr>
          <w:rFonts w:ascii="Arial" w:hAnsi="Arial"/>
        </w:rPr>
        <w:tab/>
        <w:t>XX.XX</w:t>
      </w:r>
      <w:proofErr w:type="gramEnd"/>
      <w:r>
        <w:rPr>
          <w:rFonts w:ascii="Arial" w:hAnsi="Arial"/>
        </w:rPr>
        <w:t>.XXXX</w:t>
      </w:r>
    </w:p>
    <w:p>
      <w:pPr>
        <w:pStyle w:val="standardeinzug"/>
        <w:keepNext/>
        <w:numPr>
          <w:ilvl w:val="1"/>
          <w:numId w:val="13"/>
        </w:numPr>
        <w:tabs>
          <w:tab w:val="clear" w:pos="1789"/>
          <w:tab w:val="num" w:pos="1134"/>
          <w:tab w:val="left" w:pos="7088"/>
        </w:tabs>
        <w:ind w:left="993" w:hanging="284"/>
        <w:rPr>
          <w:rFonts w:ascii="Arial" w:hAnsi="Arial"/>
        </w:rPr>
      </w:pPr>
      <w:r>
        <w:rPr>
          <w:rFonts w:ascii="Arial" w:hAnsi="Arial"/>
        </w:rPr>
        <w:t>Fertigstellung (einschließlich Restarbeiten</w:t>
      </w:r>
      <w:proofErr w:type="gramStart"/>
      <w:r>
        <w:rPr>
          <w:rFonts w:ascii="Arial" w:hAnsi="Arial"/>
        </w:rPr>
        <w:t>):</w:t>
      </w:r>
      <w:r>
        <w:rPr>
          <w:rFonts w:ascii="Arial" w:hAnsi="Arial"/>
        </w:rPr>
        <w:tab/>
        <w:t>XX.XX</w:t>
      </w:r>
      <w:proofErr w:type="gramEnd"/>
      <w:r>
        <w:rPr>
          <w:rFonts w:ascii="Arial" w:hAnsi="Arial"/>
        </w:rPr>
        <w:t>.XXXX</w:t>
      </w:r>
    </w:p>
    <w:p>
      <w:pPr>
        <w:pStyle w:val="standardeinzug"/>
        <w:tabs>
          <w:tab w:val="left" w:pos="7088"/>
        </w:tabs>
        <w:ind w:left="1134"/>
        <w:rPr>
          <w:rFonts w:ascii="Arial" w:hAnsi="Arial"/>
        </w:rPr>
      </w:pPr>
    </w:p>
    <w:p>
      <w:pPr>
        <w:pStyle w:val="standardeinzug"/>
        <w:rPr>
          <w:rFonts w:ascii="Arial" w:hAnsi="Arial" w:cs="Arial"/>
          <w:i/>
        </w:rPr>
      </w:pPr>
      <w:r>
        <w:rPr>
          <w:rFonts w:ascii="Arial" w:hAnsi="Arial"/>
          <w:bCs/>
          <w:i/>
          <w:iCs/>
        </w:rPr>
        <w:t>&lt; Termine sind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 w:cs="Arial"/>
          <w:i/>
        </w:rPr>
        <w:t>auf Grund von Bautagesberichten oder Leistungszeiträumen in Firmenrechnungen festzulegen. &gt;</w:t>
      </w:r>
    </w:p>
    <w:p>
      <w:pPr>
        <w:pStyle w:val="standardeinzug"/>
        <w:rPr>
          <w:rFonts w:ascii="Arial" w:hAnsi="Arial" w:cs="Arial"/>
          <w:i/>
        </w:rPr>
      </w:pPr>
    </w:p>
    <w:p>
      <w:pPr>
        <w:pStyle w:val="standardeinzug"/>
        <w:rPr>
          <w:rFonts w:ascii="Arial" w:hAnsi="Arial"/>
          <w:bCs/>
          <w:i/>
          <w:iCs/>
        </w:rPr>
      </w:pPr>
      <w:r>
        <w:rPr>
          <w:rFonts w:ascii="Arial" w:hAnsi="Arial"/>
          <w:bCs/>
          <w:i/>
          <w:iCs/>
        </w:rPr>
        <w:t>&lt; Allfälliger Hinweis auf Bauleistungen als Vorleistung mit Begründung &gt;</w:t>
      </w:r>
    </w:p>
    <w:p>
      <w:pPr>
        <w:pStyle w:val="standardeinzug"/>
        <w:rPr>
          <w:rFonts w:ascii="Arial" w:hAnsi="Arial" w:cs="Arial"/>
          <w:i/>
        </w:rPr>
      </w:pPr>
    </w:p>
    <w:p>
      <w:pPr>
        <w:pStyle w:val="standardeinzug"/>
        <w:rPr>
          <w:rFonts w:ascii="Arial" w:hAnsi="Arial" w:cs="Arial"/>
          <w:i/>
        </w:rPr>
      </w:pPr>
      <w:r>
        <w:rPr>
          <w:rFonts w:ascii="Arial" w:hAnsi="Arial"/>
          <w:bCs/>
          <w:i/>
          <w:iCs/>
        </w:rPr>
        <w:t>&lt; Bei Rechnungsdatum nach Funktionsfähigkeit – vor allem bei Prüfmaßnahmen – ist in der Rechnungs</w:t>
      </w:r>
      <w:r>
        <w:rPr>
          <w:rFonts w:ascii="Arial" w:hAnsi="Arial"/>
          <w:bCs/>
          <w:i/>
          <w:iCs/>
        </w:rPr>
        <w:softHyphen/>
        <w:t>zusammenstellung der Leistungszeitraum anzuführen. &gt;</w:t>
      </w:r>
    </w:p>
    <w:p>
      <w:pPr>
        <w:pStyle w:val="berschrift1a"/>
        <w:ind w:firstLine="0"/>
        <w:rPr>
          <w:rFonts w:ascii="Arial" w:hAnsi="Arial"/>
          <w:b w:val="0"/>
          <w:bCs/>
          <w:i/>
          <w:iCs/>
          <w:u w:val="none"/>
        </w:rPr>
      </w:pPr>
    </w:p>
    <w:p>
      <w:pPr>
        <w:pStyle w:val="standardeinzug"/>
        <w:rPr>
          <w:rFonts w:ascii="Arial" w:hAnsi="Arial"/>
          <w:bCs/>
          <w:i/>
          <w:iCs/>
        </w:rPr>
      </w:pPr>
      <w:r>
        <w:rPr>
          <w:rFonts w:ascii="Arial" w:hAnsi="Arial"/>
          <w:bCs/>
          <w:i/>
          <w:iCs/>
        </w:rPr>
        <w:t>&lt; Allfällige Zustimmung des Landes zur Erstreckung der Fertigstellungsfrist auf mehr als 1 Jahr nach Funktionsfähigkeit &gt;</w:t>
      </w:r>
    </w:p>
    <w:p>
      <w:pPr>
        <w:pStyle w:val="standardeinzug"/>
        <w:rPr>
          <w:rFonts w:ascii="Arial" w:hAnsi="Arial"/>
          <w:bCs/>
          <w:i/>
          <w:iCs/>
        </w:rPr>
      </w:pPr>
    </w:p>
    <w:p>
      <w:pPr>
        <w:pStyle w:val="berschrift1a"/>
        <w:ind w:firstLine="0"/>
        <w:rPr>
          <w:rFonts w:ascii="Arial" w:hAnsi="Arial"/>
          <w:b w:val="0"/>
          <w:bCs/>
          <w:i/>
          <w:iCs/>
          <w:u w:val="none"/>
        </w:rPr>
      </w:pPr>
    </w:p>
    <w:p>
      <w:pPr>
        <w:pStyle w:val="berschrift1a"/>
        <w:ind w:firstLine="0"/>
        <w:rPr>
          <w:rFonts w:ascii="Arial" w:hAnsi="Arial"/>
          <w:b w:val="0"/>
          <w:bCs/>
          <w:i/>
          <w:iCs/>
          <w:u w:val="none"/>
        </w:rPr>
      </w:pPr>
    </w:p>
    <w:p>
      <w:pPr>
        <w:pStyle w:val="berschrift1a"/>
        <w:keepNext/>
        <w:rPr>
          <w:rFonts w:ascii="Arial" w:hAnsi="Arial"/>
        </w:rPr>
      </w:pPr>
      <w:bookmarkStart w:id="5" w:name="_Toc58244588"/>
      <w:r>
        <w:rPr>
          <w:rFonts w:ascii="Arial" w:hAnsi="Arial"/>
        </w:rPr>
        <w:t>5.</w:t>
      </w:r>
      <w:r>
        <w:rPr>
          <w:rFonts w:ascii="Arial" w:hAnsi="Arial"/>
        </w:rPr>
        <w:tab/>
        <w:t>Ausführung</w:t>
      </w:r>
      <w:bookmarkEnd w:id="5"/>
    </w:p>
    <w:p>
      <w:pPr>
        <w:pStyle w:val="FormatvorlagestandardeinzugArial"/>
        <w:keepNext/>
      </w:pPr>
    </w:p>
    <w:p>
      <w:pPr>
        <w:pStyle w:val="FormatvorlagestandardeinzugArial"/>
        <w:keepNext/>
      </w:pPr>
      <w:r>
        <w:rPr>
          <w:u w:val="single"/>
        </w:rPr>
        <w:t>Zweck der Anlage</w:t>
      </w:r>
      <w:r>
        <w:t xml:space="preserve">: </w:t>
      </w:r>
    </w:p>
    <w:p>
      <w:pPr>
        <w:pStyle w:val="FormatvorlagestandardeinzugArial"/>
        <w:keepNext/>
        <w:rPr>
          <w:i/>
        </w:rPr>
      </w:pPr>
    </w:p>
    <w:p>
      <w:pPr>
        <w:pStyle w:val="FormatvorlagestandardeinzugArial"/>
        <w:rPr>
          <w:i/>
        </w:rPr>
      </w:pPr>
      <w:r>
        <w:rPr>
          <w:i/>
        </w:rPr>
        <w:t>&lt; Angabe bzw. Kurzbeschreibung in wenigen Worten / Sätzen, damit man weiß, worum es in dem BA geht; z.B. Kanalisation im Trennsystem für Siedlung XX, Sanierung Hochbehälter YY inklusive Vergrößerung auf ZZ m³ &gt;</w:t>
      </w:r>
    </w:p>
    <w:p>
      <w:pPr>
        <w:pStyle w:val="FormatvorlagestandardeinzugArial"/>
      </w:pPr>
    </w:p>
    <w:p>
      <w:pPr>
        <w:pStyle w:val="FormatvorlagestandardeinzugArial"/>
      </w:pPr>
      <w:r>
        <w:t>Details siehe Ausführungskatalog und Bestandspläne.</w:t>
      </w:r>
    </w:p>
    <w:p>
      <w:pPr>
        <w:pStyle w:val="FormatvorlagestandardeinzugArial"/>
      </w:pPr>
    </w:p>
    <w:p>
      <w:pPr>
        <w:pStyle w:val="FormatvorlagestandardeinzugArial"/>
      </w:pPr>
      <w:r>
        <w:rPr>
          <w:u w:val="single"/>
        </w:rPr>
        <w:t>Vergleich zwischen zugesicherten und ausgeführten Anlagenteilen</w:t>
      </w:r>
      <w:r>
        <w:t>:</w:t>
      </w:r>
    </w:p>
    <w:p>
      <w:pPr>
        <w:pStyle w:val="FormatvorlagestandardeinzugArial"/>
        <w:rPr>
          <w:i/>
        </w:rPr>
      </w:pPr>
    </w:p>
    <w:p>
      <w:pPr>
        <w:pStyle w:val="FormatvorlagestandardeinzugArial"/>
        <w:rPr>
          <w:i/>
        </w:rPr>
      </w:pPr>
      <w:r>
        <w:rPr>
          <w:i/>
        </w:rPr>
        <w:t>&lt; bei Leitungen und Kanälen genügt folgende Summendarstellung &gt;</w:t>
      </w:r>
    </w:p>
    <w:tbl>
      <w:tblPr>
        <w:tblStyle w:val="Tabellenraster"/>
        <w:tblW w:w="8783" w:type="dxa"/>
        <w:tblInd w:w="567" w:type="dxa"/>
        <w:tblLook w:val="04A0" w:firstRow="1" w:lastRow="0" w:firstColumn="1" w:lastColumn="0" w:noHBand="0" w:noVBand="1"/>
      </w:tblPr>
      <w:tblGrid>
        <w:gridCol w:w="2830"/>
        <w:gridCol w:w="850"/>
        <w:gridCol w:w="1701"/>
        <w:gridCol w:w="1701"/>
        <w:gridCol w:w="1701"/>
      </w:tblGrid>
      <w:tr>
        <w:tc>
          <w:tcPr>
            <w:tcW w:w="2830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  <w:tc>
          <w:tcPr>
            <w:tcW w:w="850" w:type="dxa"/>
          </w:tcPr>
          <w:p>
            <w:pPr>
              <w:pStyle w:val="FormatvorlagestandardeinzugArial"/>
              <w:ind w:left="0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  <w:r>
              <w:t>Zusicherung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  <w:r>
              <w:t>Ausführung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  <w:r>
              <w:t>Differenz</w:t>
            </w:r>
          </w:p>
        </w:tc>
      </w:tr>
      <w:tr>
        <w:tc>
          <w:tcPr>
            <w:tcW w:w="2830" w:type="dxa"/>
            <w:shd w:val="clear" w:color="auto" w:fill="auto"/>
          </w:tcPr>
          <w:p>
            <w:pPr>
              <w:pStyle w:val="FormatvorlagestandardeinzugArial"/>
              <w:ind w:left="0"/>
            </w:pPr>
            <w:r>
              <w:t>Hauptleitungen / Kanäle</w:t>
            </w:r>
          </w:p>
        </w:tc>
        <w:tc>
          <w:tcPr>
            <w:tcW w:w="850" w:type="dxa"/>
          </w:tcPr>
          <w:p>
            <w:pPr>
              <w:pStyle w:val="FormatvorlagestandardeinzugArial"/>
              <w:ind w:left="0"/>
            </w:pPr>
            <w:proofErr w:type="spellStart"/>
            <w:r>
              <w:t>lfm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</w:tr>
      <w:tr>
        <w:tc>
          <w:tcPr>
            <w:tcW w:w="2830" w:type="dxa"/>
            <w:shd w:val="clear" w:color="auto" w:fill="auto"/>
          </w:tcPr>
          <w:p>
            <w:pPr>
              <w:pStyle w:val="FormatvorlagestandardeinzugArial"/>
              <w:ind w:left="0"/>
            </w:pPr>
            <w:r>
              <w:t>Hausanschlüsse Länge</w:t>
            </w:r>
          </w:p>
        </w:tc>
        <w:tc>
          <w:tcPr>
            <w:tcW w:w="850" w:type="dxa"/>
          </w:tcPr>
          <w:p>
            <w:pPr>
              <w:pStyle w:val="FormatvorlagestandardeinzugArial"/>
              <w:ind w:left="0"/>
            </w:pPr>
            <w:proofErr w:type="spellStart"/>
            <w:r>
              <w:t>lfm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</w:tr>
      <w:tr>
        <w:tc>
          <w:tcPr>
            <w:tcW w:w="2830" w:type="dxa"/>
            <w:shd w:val="clear" w:color="auto" w:fill="auto"/>
          </w:tcPr>
          <w:p>
            <w:pPr>
              <w:pStyle w:val="FormatvorlagestandardeinzugArial"/>
              <w:ind w:left="0"/>
            </w:pPr>
            <w:r>
              <w:t>Hausanschlüsse Anzahl</w:t>
            </w:r>
          </w:p>
        </w:tc>
        <w:tc>
          <w:tcPr>
            <w:tcW w:w="850" w:type="dxa"/>
          </w:tcPr>
          <w:p>
            <w:pPr>
              <w:pStyle w:val="FormatvorlagestandardeinzugArial"/>
              <w:ind w:left="0"/>
            </w:pPr>
            <w:proofErr w:type="spellStart"/>
            <w:r>
              <w:t>Stk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</w:tr>
      <w:tr>
        <w:tc>
          <w:tcPr>
            <w:tcW w:w="2830" w:type="dxa"/>
            <w:shd w:val="clear" w:color="auto" w:fill="auto"/>
          </w:tcPr>
          <w:p>
            <w:pPr>
              <w:pStyle w:val="FormatvorlagestandardeinzugArial"/>
              <w:ind w:left="0"/>
            </w:pPr>
            <w:r>
              <w:t>Summe Längen</w:t>
            </w:r>
          </w:p>
        </w:tc>
        <w:tc>
          <w:tcPr>
            <w:tcW w:w="850" w:type="dxa"/>
          </w:tcPr>
          <w:p>
            <w:pPr>
              <w:pStyle w:val="FormatvorlagestandardeinzugArial"/>
              <w:ind w:left="0"/>
            </w:pPr>
            <w:proofErr w:type="spellStart"/>
            <w:r>
              <w:t>lfm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FormatvorlagestandardeinzugArial"/>
              <w:ind w:left="0"/>
            </w:pPr>
          </w:p>
        </w:tc>
      </w:tr>
    </w:tbl>
    <w:p>
      <w:pPr>
        <w:pStyle w:val="FormatvorlagestandardeinzugArial"/>
      </w:pPr>
    </w:p>
    <w:p>
      <w:pPr>
        <w:pStyle w:val="standardeinzug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&lt; Begründung von nennenswerten Abweichungen (z.B. zusätzliche Stränge, größere Mehrlängen) &gt;</w:t>
      </w:r>
    </w:p>
    <w:p>
      <w:pPr>
        <w:pStyle w:val="standardeinzug"/>
        <w:tabs>
          <w:tab w:val="num" w:pos="851"/>
        </w:tabs>
        <w:rPr>
          <w:rFonts w:ascii="Arial" w:hAnsi="Arial"/>
          <w:i/>
          <w:iCs/>
        </w:rPr>
      </w:pPr>
    </w:p>
    <w:p>
      <w:pPr>
        <w:pStyle w:val="standardeinzug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&lt; Hinweis auf allfällige </w:t>
      </w:r>
      <w:proofErr w:type="spellStart"/>
      <w:r>
        <w:rPr>
          <w:rFonts w:ascii="Arial" w:hAnsi="Arial"/>
          <w:i/>
          <w:iCs/>
        </w:rPr>
        <w:t>Einvernehmensher</w:t>
      </w:r>
      <w:r>
        <w:rPr>
          <w:rFonts w:ascii="Arial" w:hAnsi="Arial"/>
          <w:i/>
          <w:iCs/>
        </w:rPr>
        <w:softHyphen/>
        <w:t>stellung</w:t>
      </w:r>
      <w:proofErr w:type="spellEnd"/>
      <w:r>
        <w:rPr>
          <w:rFonts w:ascii="Arial" w:hAnsi="Arial"/>
          <w:i/>
          <w:iCs/>
        </w:rPr>
        <w:t xml:space="preserve"> mit dem Land &gt;</w:t>
      </w:r>
    </w:p>
    <w:p>
      <w:pPr>
        <w:pStyle w:val="standardeinzug"/>
        <w:rPr>
          <w:rFonts w:ascii="Arial" w:hAnsi="Arial"/>
          <w:i/>
          <w:iCs/>
        </w:rPr>
      </w:pPr>
    </w:p>
    <w:p>
      <w:pPr>
        <w:pStyle w:val="standardeinzug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&lt; bei wesentlichen Bauumfangsänderungen: Meldung an die KPC und Antwortschreiben von der KPC anführen &gt;</w:t>
      </w:r>
    </w:p>
    <w:p>
      <w:pPr>
        <w:pStyle w:val="standardeinzug"/>
        <w:tabs>
          <w:tab w:val="num" w:pos="851"/>
        </w:tabs>
        <w:rPr>
          <w:rFonts w:ascii="Arial" w:hAnsi="Arial"/>
          <w:i/>
          <w:iCs/>
        </w:rPr>
      </w:pPr>
    </w:p>
    <w:p>
      <w:pPr>
        <w:pStyle w:val="standardeinzug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&lt; Hinweis für Genossenschaften: Zusammenstellung der HA mit hergestellten bzw. förderfähigen Längen als Beilage zum Kollaudierungsbericht &gt;</w:t>
      </w:r>
    </w:p>
    <w:p>
      <w:pPr>
        <w:pStyle w:val="standardeinzug"/>
        <w:rPr>
          <w:rFonts w:ascii="Arial" w:hAnsi="Arial"/>
          <w:i/>
          <w:iCs/>
        </w:rPr>
      </w:pPr>
    </w:p>
    <w:p>
      <w:pPr>
        <w:pStyle w:val="standardeinzug"/>
        <w:rPr>
          <w:rFonts w:ascii="Arial" w:hAnsi="Arial"/>
          <w:i/>
          <w:iCs/>
        </w:rPr>
      </w:pPr>
    </w:p>
    <w:p>
      <w:pPr>
        <w:pStyle w:val="berschrift1a"/>
        <w:rPr>
          <w:rFonts w:ascii="Arial" w:hAnsi="Arial"/>
        </w:rPr>
      </w:pPr>
      <w:bookmarkStart w:id="6" w:name="_Toc58244589"/>
      <w:r>
        <w:rPr>
          <w:rFonts w:ascii="Arial" w:hAnsi="Arial"/>
        </w:rPr>
        <w:t>6.</w:t>
      </w:r>
      <w:r>
        <w:rPr>
          <w:rFonts w:ascii="Arial" w:hAnsi="Arial"/>
        </w:rPr>
        <w:tab/>
        <w:t>Ausschreibung – Vergabe – Abrechnung</w:t>
      </w:r>
      <w:bookmarkEnd w:id="6"/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&lt; Alle Kosten exklusive Umsatzsteuer &gt;</w:t>
      </w:r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 xml:space="preserve">&lt; Vergaben im offenen Verfahren, im nicht offenen Verfahren und größere Verhandlungsverfahren mit Vergleich der Vergabe- und Abrechnungssumme gemäß nachstehendem Beispiel pro Gewerk (Erd- und Baumeisterarbeiten, maschinelle Ausrüstung, elektrische Ausrüstung, MSR-Ausrüstung, etc.) bzw. pro Vergabe. </w:t>
      </w:r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Bei mehreren gemeinsam ausgeschriebenen Leistungen ist ein Gesamtvergleich durchzuführen. &gt;</w:t>
      </w:r>
    </w:p>
    <w:p>
      <w:pPr>
        <w:spacing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br w:type="page"/>
      </w: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lastRenderedPageBreak/>
        <w:t>6.1</w:t>
      </w:r>
      <w:r>
        <w:rPr>
          <w:rFonts w:ascii="Arial" w:hAnsi="Arial"/>
        </w:rPr>
        <w:tab/>
        <w:t>Bezeichnung Gewerk, allenfalls Bauteil</w:t>
      </w:r>
    </w:p>
    <w:p>
      <w:pPr>
        <w:pStyle w:val="standardeinzug"/>
        <w:spacing w:before="60"/>
        <w:ind w:left="851"/>
        <w:rPr>
          <w:rFonts w:ascii="Arial" w:hAnsi="Arial"/>
        </w:rPr>
      </w:pPr>
    </w:p>
    <w:p>
      <w:pPr>
        <w:pStyle w:val="standardeinzug"/>
        <w:spacing w:before="60"/>
        <w:ind w:left="851"/>
        <w:rPr>
          <w:rFonts w:ascii="Arial" w:hAnsi="Arial"/>
        </w:rPr>
      </w:pPr>
      <w:r>
        <w:rPr>
          <w:rFonts w:ascii="Arial" w:hAnsi="Arial"/>
        </w:rPr>
        <w:t xml:space="preserve">Vergabeverfahren: offen / nicht offen / </w:t>
      </w:r>
      <w:proofErr w:type="gramStart"/>
      <w:r>
        <w:rPr>
          <w:rFonts w:ascii="Arial" w:hAnsi="Arial"/>
        </w:rPr>
        <w:t xml:space="preserve">Verhandlung  </w:t>
      </w:r>
      <w:r>
        <w:rPr>
          <w:rFonts w:ascii="Arial" w:hAnsi="Arial"/>
          <w:i/>
        </w:rPr>
        <w:t>&lt;</w:t>
      </w:r>
      <w:proofErr w:type="gramEnd"/>
      <w:r>
        <w:rPr>
          <w:rFonts w:ascii="Arial" w:hAnsi="Arial"/>
          <w:i/>
        </w:rPr>
        <w:t xml:space="preserve"> zutreffendes anführen &gt;</w:t>
      </w:r>
    </w:p>
    <w:p>
      <w:pPr>
        <w:pStyle w:val="standardeinzug"/>
        <w:tabs>
          <w:tab w:val="right" w:pos="9070"/>
        </w:tabs>
        <w:spacing w:before="60"/>
        <w:ind w:left="851"/>
        <w:rPr>
          <w:rFonts w:ascii="Arial" w:hAnsi="Arial"/>
        </w:rPr>
      </w:pPr>
      <w:proofErr w:type="gramStart"/>
      <w:r>
        <w:rPr>
          <w:rFonts w:ascii="Arial" w:hAnsi="Arial"/>
        </w:rPr>
        <w:t>Angebotsöffnung:</w:t>
      </w:r>
      <w:r>
        <w:rPr>
          <w:rFonts w:ascii="Arial" w:hAnsi="Arial"/>
        </w:rPr>
        <w:tab/>
        <w:t>XX.XX</w:t>
      </w:r>
      <w:proofErr w:type="gramEnd"/>
      <w:r>
        <w:rPr>
          <w:rFonts w:ascii="Arial" w:hAnsi="Arial"/>
        </w:rPr>
        <w:t>.XXXX</w:t>
      </w:r>
    </w:p>
    <w:p>
      <w:pPr>
        <w:pStyle w:val="standardeinzug"/>
        <w:tabs>
          <w:tab w:val="left" w:pos="7371"/>
        </w:tabs>
        <w:spacing w:before="60"/>
        <w:ind w:left="851"/>
        <w:rPr>
          <w:rFonts w:ascii="Arial" w:hAnsi="Arial"/>
        </w:rPr>
      </w:pPr>
      <w:r>
        <w:rPr>
          <w:rFonts w:ascii="Arial" w:hAnsi="Arial"/>
        </w:rPr>
        <w:t>Auftragnehmer: XXX</w:t>
      </w:r>
    </w:p>
    <w:p>
      <w:pPr>
        <w:pStyle w:val="standardeinzug"/>
        <w:tabs>
          <w:tab w:val="left" w:pos="6946"/>
          <w:tab w:val="decimal" w:pos="8931"/>
        </w:tabs>
        <w:spacing w:before="60"/>
        <w:ind w:left="851"/>
        <w:rPr>
          <w:rFonts w:ascii="Arial" w:hAnsi="Arial"/>
        </w:rPr>
      </w:pPr>
      <w:r>
        <w:rPr>
          <w:rFonts w:ascii="Arial" w:hAnsi="Arial"/>
        </w:rPr>
        <w:t xml:space="preserve">Vergabesumme: 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V.VVV.VVV,-</w:t>
      </w:r>
      <w:proofErr w:type="gramEnd"/>
    </w:p>
    <w:p>
      <w:pPr>
        <w:pStyle w:val="standardeinzug"/>
        <w:spacing w:before="240"/>
        <w:rPr>
          <w:rFonts w:ascii="Arial" w:hAnsi="Arial"/>
        </w:rPr>
      </w:pPr>
      <w:r>
        <w:rPr>
          <w:rFonts w:ascii="Arial" w:hAnsi="Arial"/>
          <w:u w:val="single"/>
        </w:rPr>
        <w:t>Abrechnungssummen</w:t>
      </w:r>
      <w:r>
        <w:rPr>
          <w:rFonts w:ascii="Arial" w:hAnsi="Arial"/>
        </w:rPr>
        <w:t xml:space="preserve"> lt. Schlussrechnung(en):</w:t>
      </w:r>
    </w:p>
    <w:p>
      <w:pPr>
        <w:pStyle w:val="standardeinzug"/>
        <w:tabs>
          <w:tab w:val="left" w:pos="5245"/>
          <w:tab w:val="decimal" w:pos="7371"/>
          <w:tab w:val="decimal" w:pos="8789"/>
        </w:tabs>
        <w:spacing w:before="60"/>
        <w:ind w:left="0" w:firstLine="851"/>
        <w:rPr>
          <w:rFonts w:ascii="Arial" w:hAnsi="Arial"/>
        </w:rPr>
      </w:pPr>
      <w:r>
        <w:rPr>
          <w:rFonts w:ascii="Arial" w:hAnsi="Arial"/>
        </w:rPr>
        <w:t>ABA Beispielort BA03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UUU.UUU,-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r>
        <w:rPr>
          <w:rFonts w:ascii="Arial" w:hAnsi="Arial"/>
        </w:rPr>
        <w:t>ABA Beispielort BA04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SSS.SSS,-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r>
        <w:rPr>
          <w:rFonts w:ascii="Arial" w:hAnsi="Arial"/>
        </w:rPr>
        <w:t>WVA Beispielort BA03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R.RRR.RRR,-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proofErr w:type="spellStart"/>
      <w:r>
        <w:rPr>
          <w:rFonts w:ascii="Arial" w:hAnsi="Arial"/>
        </w:rPr>
        <w:t>Kabelverlegearbeiten</w:t>
      </w:r>
      <w:proofErr w:type="spellEnd"/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PPP.PPP,-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proofErr w:type="spellStart"/>
      <w:r>
        <w:rPr>
          <w:rFonts w:ascii="Arial" w:hAnsi="Arial"/>
        </w:rPr>
        <w:t>Verlegearbeiten</w:t>
      </w:r>
      <w:proofErr w:type="spellEnd"/>
      <w:r>
        <w:rPr>
          <w:rFonts w:ascii="Arial" w:hAnsi="Arial"/>
        </w:rPr>
        <w:t xml:space="preserve"> Gasleitung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NNN.NNN,-</w:t>
      </w:r>
      <w:proofErr w:type="gramEnd"/>
    </w:p>
    <w:p>
      <w:pPr>
        <w:pStyle w:val="standardeinzug"/>
        <w:tabs>
          <w:tab w:val="left" w:pos="6946"/>
          <w:tab w:val="decimal" w:pos="8931"/>
        </w:tabs>
        <w:spacing w:before="120"/>
        <w:ind w:left="0" w:firstLine="567"/>
        <w:rPr>
          <w:rFonts w:ascii="Arial" w:hAnsi="Arial"/>
        </w:rPr>
      </w:pPr>
      <w:r>
        <w:rPr>
          <w:rFonts w:ascii="Arial" w:hAnsi="Arial"/>
        </w:rPr>
        <w:t xml:space="preserve">Abrechnungssumme inkl. Lohn- und Preiserhöhungen 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L.LLL.LLL,-</w:t>
      </w:r>
      <w:proofErr w:type="gramEnd"/>
    </w:p>
    <w:p>
      <w:pPr>
        <w:pStyle w:val="standardeinzug"/>
        <w:ind w:left="0" w:firstLine="567"/>
        <w:rPr>
          <w:rFonts w:ascii="Arial" w:hAnsi="Arial"/>
        </w:rPr>
      </w:pPr>
    </w:p>
    <w:p>
      <w:pPr>
        <w:pStyle w:val="standardeinzug"/>
        <w:ind w:left="0" w:firstLine="567"/>
        <w:rPr>
          <w:rFonts w:ascii="Arial" w:hAnsi="Arial"/>
        </w:rPr>
      </w:pPr>
      <w:r>
        <w:rPr>
          <w:rFonts w:ascii="Arial" w:hAnsi="Arial"/>
        </w:rPr>
        <w:t>In obigen Summen enthaltene Lohn- und Preiserhöhungen:</w:t>
      </w:r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r>
        <w:rPr>
          <w:rFonts w:ascii="Arial" w:hAnsi="Arial"/>
        </w:rPr>
        <w:t>ABA Beispielort BA03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KK.KKK,-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r>
        <w:rPr>
          <w:rFonts w:ascii="Arial" w:hAnsi="Arial"/>
        </w:rPr>
        <w:t>ABA Beispielort BA04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JJ.JJJ,-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r>
        <w:rPr>
          <w:rFonts w:ascii="Arial" w:hAnsi="Arial"/>
        </w:rPr>
        <w:t>WVA Beispielort BA03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HH.HHH,-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proofErr w:type="spellStart"/>
      <w:r>
        <w:rPr>
          <w:rFonts w:ascii="Arial" w:hAnsi="Arial"/>
        </w:rPr>
        <w:t>Kabelverlegearbeiten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G.GGG,-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  <w:u w:val="single"/>
        </w:rPr>
      </w:pPr>
      <w:proofErr w:type="spellStart"/>
      <w:r>
        <w:rPr>
          <w:rFonts w:ascii="Arial" w:hAnsi="Arial"/>
        </w:rPr>
        <w:t>Verlegearbeiten</w:t>
      </w:r>
      <w:proofErr w:type="spellEnd"/>
      <w:r>
        <w:rPr>
          <w:rFonts w:ascii="Arial" w:hAnsi="Arial"/>
        </w:rPr>
        <w:t xml:space="preserve"> Gasleitung</w:t>
      </w:r>
      <w:r>
        <w:rPr>
          <w:rFonts w:ascii="Arial" w:hAnsi="Arial"/>
        </w:rPr>
        <w:tab/>
        <w:t>EUR</w:t>
      </w:r>
      <w:r>
        <w:rPr>
          <w:rFonts w:ascii="Arial" w:hAnsi="Arial"/>
          <w:u w:val="single"/>
        </w:rPr>
        <w:tab/>
      </w:r>
      <w:proofErr w:type="gramStart"/>
      <w:r>
        <w:rPr>
          <w:rFonts w:ascii="Arial" w:hAnsi="Arial"/>
          <w:u w:val="single"/>
        </w:rPr>
        <w:t>F.FFF,-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spacing w:before="120"/>
        <w:ind w:left="0" w:firstLine="851"/>
        <w:rPr>
          <w:rFonts w:ascii="Arial" w:hAnsi="Arial"/>
        </w:rPr>
      </w:pPr>
      <w:r>
        <w:rPr>
          <w:rFonts w:ascii="Arial" w:hAnsi="Arial"/>
        </w:rPr>
        <w:t>Zwischensumme Lohn-/Preiserhöhungen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DD.DDD,-</w:t>
      </w:r>
      <w:proofErr w:type="gramEnd"/>
    </w:p>
    <w:p>
      <w:pPr>
        <w:pStyle w:val="standardeinzug"/>
        <w:tabs>
          <w:tab w:val="left" w:pos="6804"/>
          <w:tab w:val="decimal" w:pos="8789"/>
        </w:tabs>
        <w:rPr>
          <w:rFonts w:ascii="Arial" w:hAnsi="Arial"/>
        </w:rPr>
      </w:pPr>
    </w:p>
    <w:p>
      <w:pPr>
        <w:pStyle w:val="standardeinzug"/>
        <w:tabs>
          <w:tab w:val="left" w:pos="6946"/>
          <w:tab w:val="decimal" w:pos="8931"/>
        </w:tabs>
        <w:ind w:left="0" w:firstLine="567"/>
        <w:rPr>
          <w:rFonts w:ascii="Arial" w:hAnsi="Arial"/>
        </w:rPr>
      </w:pPr>
      <w:r>
        <w:rPr>
          <w:rFonts w:ascii="Arial" w:hAnsi="Arial"/>
        </w:rPr>
        <w:t>Vergleichsabrechnungssumme ohne Lohn-/Preiserhöhungen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C.CCC.CCC,-</w:t>
      </w:r>
      <w:proofErr w:type="gramEnd"/>
    </w:p>
    <w:p>
      <w:pPr>
        <w:pStyle w:val="standardeinzug"/>
        <w:tabs>
          <w:tab w:val="left" w:pos="6804"/>
          <w:tab w:val="decimal" w:pos="8789"/>
        </w:tabs>
        <w:rPr>
          <w:rFonts w:ascii="Arial" w:hAnsi="Arial"/>
        </w:rPr>
      </w:pPr>
    </w:p>
    <w:p>
      <w:pPr>
        <w:pStyle w:val="standardeinzug"/>
        <w:tabs>
          <w:tab w:val="left" w:pos="6946"/>
          <w:tab w:val="decimal" w:pos="8931"/>
        </w:tabs>
        <w:ind w:left="0" w:firstLine="567"/>
        <w:rPr>
          <w:rFonts w:ascii="Arial" w:hAnsi="Arial"/>
        </w:rPr>
      </w:pPr>
      <w:r>
        <w:rPr>
          <w:rFonts w:ascii="Arial" w:hAnsi="Arial"/>
        </w:rPr>
        <w:t>Kostendifferenz zur Vergabesumme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BBB.BBB,-</w:t>
      </w:r>
      <w:proofErr w:type="gramEnd"/>
    </w:p>
    <w:p>
      <w:pPr>
        <w:pStyle w:val="standardeinzug"/>
        <w:tabs>
          <w:tab w:val="left" w:pos="6804"/>
          <w:tab w:val="decimal" w:pos="8789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(das entspricht AA %)</w:t>
      </w:r>
    </w:p>
    <w:p>
      <w:pPr>
        <w:pStyle w:val="standardeinzug"/>
        <w:rPr>
          <w:rFonts w:ascii="Arial" w:hAnsi="Arial"/>
        </w:rPr>
      </w:pPr>
    </w:p>
    <w:p>
      <w:pPr>
        <w:pStyle w:val="standardeinzug"/>
        <w:keepNext/>
        <w:rPr>
          <w:rFonts w:ascii="Arial" w:hAnsi="Arial"/>
        </w:rPr>
      </w:pPr>
      <w:r>
        <w:rPr>
          <w:rFonts w:ascii="Arial" w:hAnsi="Arial"/>
          <w:u w:val="single"/>
        </w:rPr>
        <w:t>Für den konkreten Bauabschnitt</w:t>
      </w:r>
      <w:r>
        <w:rPr>
          <w:rFonts w:ascii="Arial" w:hAnsi="Arial"/>
        </w:rPr>
        <w:t>:</w:t>
      </w:r>
    </w:p>
    <w:p>
      <w:pPr>
        <w:pStyle w:val="standardeinzug"/>
        <w:keepNext/>
        <w:rPr>
          <w:rFonts w:ascii="Arial" w:hAnsi="Arial"/>
        </w:rPr>
      </w:pPr>
      <w:r>
        <w:rPr>
          <w:rFonts w:ascii="Arial" w:hAnsi="Arial"/>
        </w:rPr>
        <w:t>In obiger Abrechnungssumme enthaltene nicht förderfähige Leistungen:</w:t>
      </w:r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r>
        <w:rPr>
          <w:rFonts w:ascii="Arial" w:hAnsi="Arial"/>
        </w:rPr>
        <w:t xml:space="preserve">Anteil nicht ff. Straßenbau 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n.nnn</w:t>
      </w:r>
      <w:proofErr w:type="spellEnd"/>
      <w:r>
        <w:rPr>
          <w:rFonts w:ascii="Arial" w:hAnsi="Arial"/>
        </w:rPr>
        <w:t>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ind w:left="0" w:firstLine="851"/>
        <w:rPr>
          <w:rFonts w:ascii="Arial" w:hAnsi="Arial"/>
        </w:rPr>
      </w:pPr>
      <w:r>
        <w:rPr>
          <w:rFonts w:ascii="Arial" w:hAnsi="Arial"/>
        </w:rPr>
        <w:t>etc.</w:t>
      </w:r>
      <w:r>
        <w:rPr>
          <w:rFonts w:ascii="Arial" w:hAnsi="Arial"/>
        </w:rPr>
        <w:tab/>
        <w:t>EUR</w:t>
      </w:r>
      <w:r>
        <w:rPr>
          <w:rFonts w:ascii="Arial" w:hAnsi="Arial"/>
          <w:u w:val="single"/>
        </w:rPr>
        <w:tab/>
        <w:t xml:space="preserve"> </w:t>
      </w:r>
      <w:proofErr w:type="spellStart"/>
      <w:proofErr w:type="gramStart"/>
      <w:r>
        <w:rPr>
          <w:rFonts w:ascii="Arial" w:hAnsi="Arial"/>
          <w:u w:val="single"/>
        </w:rPr>
        <w:t>n.nnn</w:t>
      </w:r>
      <w:proofErr w:type="spellEnd"/>
      <w:r>
        <w:rPr>
          <w:rFonts w:ascii="Arial" w:hAnsi="Arial"/>
          <w:u w:val="single"/>
        </w:rPr>
        <w:t>,-</w:t>
      </w:r>
      <w:proofErr w:type="gramEnd"/>
    </w:p>
    <w:p>
      <w:pPr>
        <w:pStyle w:val="standardeinzug"/>
        <w:tabs>
          <w:tab w:val="left" w:pos="5245"/>
          <w:tab w:val="decimal" w:pos="7371"/>
          <w:tab w:val="decimal" w:pos="8789"/>
        </w:tabs>
        <w:spacing w:before="120"/>
        <w:ind w:left="0" w:firstLine="851"/>
        <w:rPr>
          <w:rFonts w:ascii="Arial" w:hAnsi="Arial"/>
        </w:rPr>
      </w:pPr>
      <w:r>
        <w:rPr>
          <w:rFonts w:ascii="Arial" w:hAnsi="Arial"/>
        </w:rPr>
        <w:t>Summe nicht förderfähiger Leistungen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N.NNN,-</w:t>
      </w:r>
      <w:proofErr w:type="gramEnd"/>
    </w:p>
    <w:p>
      <w:pPr>
        <w:pStyle w:val="standardeinzug"/>
        <w:tabs>
          <w:tab w:val="left" w:pos="6946"/>
          <w:tab w:val="decimal" w:pos="8931"/>
        </w:tabs>
        <w:spacing w:before="240"/>
        <w:ind w:left="0" w:firstLine="567"/>
        <w:rPr>
          <w:rFonts w:ascii="Arial" w:hAnsi="Arial"/>
        </w:rPr>
      </w:pPr>
      <w:r>
        <w:rPr>
          <w:rFonts w:ascii="Arial" w:hAnsi="Arial"/>
        </w:rPr>
        <w:t>Summe förderfähiger Leistungen ABA BA03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UUU.UUU,-</w:t>
      </w:r>
      <w:proofErr w:type="gramEnd"/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&lt; Berechnung der nicht ff Leistungen als Beilage zu den Firmenrechnungen etc.&gt;</w:t>
      </w:r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&lt; Begründung bei wesentlichen Über- bzw. Unterschreitungen (jedenfalls ab 15 %)&gt;</w:t>
      </w:r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 xml:space="preserve">&lt; Zustimmung des Landes bei Angebotsüberschreitungen von mehr als 25 % anführen (ist bei Zusicherung bis Ende 2017 </w:t>
      </w:r>
      <w:proofErr w:type="gramStart"/>
      <w:r>
        <w:rPr>
          <w:rFonts w:ascii="Arial" w:hAnsi="Arial"/>
          <w:i/>
        </w:rPr>
        <w:t>erforderlich  &gt;</w:t>
      </w:r>
      <w:proofErr w:type="gramEnd"/>
    </w:p>
    <w:p>
      <w:pPr>
        <w:pStyle w:val="standardeinzug"/>
        <w:rPr>
          <w:rFonts w:ascii="Arial" w:hAnsi="Arial"/>
          <w:i/>
        </w:rPr>
      </w:pPr>
    </w:p>
    <w:p>
      <w:pPr>
        <w:pStyle w:val="berschrift2a"/>
        <w:keepNext/>
        <w:rPr>
          <w:rFonts w:ascii="Arial" w:hAnsi="Arial"/>
          <w:szCs w:val="26"/>
        </w:rPr>
      </w:pPr>
      <w:r>
        <w:rPr>
          <w:rFonts w:ascii="Arial" w:hAnsi="Arial"/>
        </w:rPr>
        <w:lastRenderedPageBreak/>
        <w:t>6.x</w:t>
      </w:r>
      <w:r>
        <w:rPr>
          <w:rFonts w:ascii="Arial" w:hAnsi="Arial"/>
        </w:rPr>
        <w:tab/>
        <w:t>Vergabe der Planungs- und Bauaufsichtsleistungen</w:t>
      </w:r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Vergabeverfahren, Auftragnehmer, Vergabesumme, Abrechnungssumme</w:t>
      </w: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Hinweis, falls bei ABA die Sektorenbestimmungen angewendet wurden mit Bestätigung, dass der Fördernehmer auch eine WVA betreibt.</w:t>
      </w:r>
    </w:p>
    <w:p>
      <w:pPr>
        <w:pStyle w:val="standardeinzug"/>
        <w:rPr>
          <w:rFonts w:ascii="Arial" w:hAnsi="Arial"/>
          <w:i/>
        </w:rPr>
      </w:pPr>
    </w:p>
    <w:p>
      <w:pPr>
        <w:pStyle w:val="berschrift2a"/>
        <w:keepNext/>
        <w:rPr>
          <w:rFonts w:ascii="Arial" w:hAnsi="Arial"/>
        </w:rPr>
      </w:pPr>
      <w:r>
        <w:rPr>
          <w:rFonts w:ascii="Arial" w:hAnsi="Arial"/>
        </w:rPr>
        <w:t>6.y</w:t>
      </w:r>
      <w:r>
        <w:rPr>
          <w:rFonts w:ascii="Arial" w:hAnsi="Arial"/>
        </w:rPr>
        <w:tab/>
        <w:t>Weitere Vergaben</w:t>
      </w:r>
    </w:p>
    <w:p>
      <w:pPr>
        <w:pStyle w:val="standardeinzug"/>
        <w:keepNext/>
        <w:keepLines/>
        <w:rPr>
          <w:rFonts w:ascii="Arial" w:hAnsi="Arial"/>
          <w:i/>
        </w:rPr>
      </w:pPr>
    </w:p>
    <w:p>
      <w:pPr>
        <w:pStyle w:val="standardeinzug"/>
        <w:keepNext/>
        <w:keepLines/>
        <w:rPr>
          <w:rFonts w:ascii="Arial" w:hAnsi="Arial"/>
          <w:i/>
        </w:rPr>
      </w:pPr>
      <w:r>
        <w:rPr>
          <w:rFonts w:ascii="Arial" w:hAnsi="Arial"/>
          <w:i/>
        </w:rPr>
        <w:t>&lt; Bei Vergaben im Verhandlungsverfahren oder Direktvergaben unterhalb der jeweils gültigen Vergabegrenzen im klassischen Bereich genügt eine pauschale Aussage, dass die Vergaben wegen des geringfügigen Betrages auf diese Weise vergeben wurden.</w:t>
      </w: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Keine Auflistung der Rechnungen, da sie ohnehin im Rechnungsnachweis enthalten sind. &gt;</w:t>
      </w:r>
    </w:p>
    <w:p>
      <w:pPr>
        <w:pStyle w:val="standardeinzug"/>
        <w:rPr>
          <w:rFonts w:ascii="Arial" w:hAnsi="Arial"/>
          <w:i/>
        </w:rPr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6.z</w:t>
      </w:r>
      <w:r>
        <w:rPr>
          <w:rFonts w:ascii="Arial" w:hAnsi="Arial"/>
        </w:rPr>
        <w:tab/>
        <w:t xml:space="preserve">Materialverwendung </w:t>
      </w:r>
    </w:p>
    <w:p>
      <w:pPr>
        <w:pStyle w:val="FormatvorlagestandardeinzugArial"/>
      </w:pPr>
    </w:p>
    <w:p>
      <w:pPr>
        <w:pStyle w:val="FormatvorlagestandardeinzugArial"/>
      </w:pPr>
      <w:r>
        <w:t>Es wird bestätigt, dass sämtliche zur Förderung beantragten Materialien eingebaut wurden.</w:t>
      </w:r>
    </w:p>
    <w:p>
      <w:pPr>
        <w:pStyle w:val="FormatvorlagestandardeinzugArial"/>
      </w:pPr>
    </w:p>
    <w:p>
      <w:pPr>
        <w:pStyle w:val="FormatvorlagestandardeinzugArial"/>
        <w:rPr>
          <w:i/>
        </w:rPr>
      </w:pPr>
      <w:r>
        <w:rPr>
          <w:i/>
        </w:rPr>
        <w:t xml:space="preserve">&lt; Gegenüberstellung von in Rechnung gestellten </w:t>
      </w:r>
      <w:proofErr w:type="spellStart"/>
      <w:r>
        <w:rPr>
          <w:i/>
        </w:rPr>
        <w:t>lfm</w:t>
      </w:r>
      <w:proofErr w:type="spellEnd"/>
      <w:r>
        <w:rPr>
          <w:i/>
        </w:rPr>
        <w:t xml:space="preserve"> Rohrverlegung (Material, DN) und Längen lt. Katalog mit Begründung nennenswerter Abweichungen – bei Zusicherungen ab September 2022 unter Berücksichtigung der förderfähigen Straßeneinläufe (Anzahl, </w:t>
      </w:r>
      <w:proofErr w:type="spellStart"/>
      <w:r>
        <w:rPr>
          <w:i/>
        </w:rPr>
        <w:t>lfm</w:t>
      </w:r>
      <w:proofErr w:type="spellEnd"/>
      <w:r>
        <w:rPr>
          <w:i/>
        </w:rPr>
        <w:t>) &gt;</w:t>
      </w:r>
    </w:p>
    <w:p>
      <w:pPr>
        <w:pStyle w:val="FormatvorlagestandardeinzugArial"/>
      </w:pPr>
    </w:p>
    <w:p>
      <w:pPr>
        <w:pStyle w:val="FormatvorlagestandardeinzugArial"/>
        <w:rPr>
          <w:i/>
          <w:iCs/>
        </w:rPr>
      </w:pPr>
      <w:r>
        <w:t xml:space="preserve">&lt; </w:t>
      </w:r>
      <w:r>
        <w:rPr>
          <w:i/>
          <w:iCs/>
        </w:rPr>
        <w:t>Materialbilanz bei gesonderter Rohrlieferung &gt;</w:t>
      </w:r>
    </w:p>
    <w:p>
      <w:pPr>
        <w:pStyle w:val="FormatvorlagestandardeinzugArial"/>
        <w:rPr>
          <w:i/>
          <w:iCs/>
        </w:rPr>
      </w:pPr>
    </w:p>
    <w:p>
      <w:pPr>
        <w:pStyle w:val="FormatvorlagestandardeinzugArial"/>
        <w:rPr>
          <w:i/>
          <w:iCs/>
        </w:rPr>
      </w:pPr>
      <w:r>
        <w:rPr>
          <w:i/>
          <w:iCs/>
        </w:rPr>
        <w:t>&lt; Angabe der Verwendung von eingekauftem Material, wenn diese aus den Rechnungen nicht eindeutig hervorgeht – z.B. bei Materiallieferungen für Eigenleistungen &gt;</w:t>
      </w:r>
    </w:p>
    <w:p>
      <w:pPr>
        <w:pStyle w:val="FormatvorlagestandardeinzugArial"/>
      </w:pPr>
    </w:p>
    <w:p>
      <w:pPr>
        <w:pStyle w:val="FormatvorlagestandardeinzugArial"/>
      </w:pPr>
    </w:p>
    <w:p>
      <w:pPr>
        <w:pStyle w:val="berschrift1a"/>
        <w:rPr>
          <w:rFonts w:ascii="Arial" w:hAnsi="Arial"/>
        </w:rPr>
      </w:pPr>
      <w:bookmarkStart w:id="7" w:name="_Toc58244590"/>
      <w:r>
        <w:rPr>
          <w:rFonts w:ascii="Arial" w:hAnsi="Arial"/>
        </w:rPr>
        <w:t>7.</w:t>
      </w:r>
      <w:r>
        <w:rPr>
          <w:rFonts w:ascii="Arial" w:hAnsi="Arial"/>
        </w:rPr>
        <w:tab/>
        <w:t>Kosten</w:t>
      </w:r>
      <w:bookmarkEnd w:id="7"/>
    </w:p>
    <w:p>
      <w:pPr>
        <w:pStyle w:val="FormatvorlagestandardeinzugArial"/>
      </w:pPr>
    </w:p>
    <w:p>
      <w:pPr>
        <w:pStyle w:val="standardeinzug"/>
        <w:numPr>
          <w:ilvl w:val="1"/>
          <w:numId w:val="15"/>
        </w:numPr>
        <w:tabs>
          <w:tab w:val="clear" w:pos="1789"/>
          <w:tab w:val="num" w:pos="993"/>
          <w:tab w:val="left" w:pos="6521"/>
          <w:tab w:val="decimal" w:pos="8789"/>
        </w:tabs>
        <w:ind w:left="709" w:firstLine="0"/>
        <w:rPr>
          <w:rFonts w:ascii="Arial" w:hAnsi="Arial"/>
        </w:rPr>
      </w:pPr>
      <w:r>
        <w:rPr>
          <w:rFonts w:ascii="Arial" w:hAnsi="Arial"/>
        </w:rPr>
        <w:t>zugesicherte Kosten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Z.ZZZ.ZZZ,-</w:t>
      </w:r>
      <w:proofErr w:type="gramEnd"/>
    </w:p>
    <w:p>
      <w:pPr>
        <w:pStyle w:val="standardeinzug"/>
        <w:numPr>
          <w:ilvl w:val="1"/>
          <w:numId w:val="15"/>
        </w:numPr>
        <w:tabs>
          <w:tab w:val="clear" w:pos="1789"/>
          <w:tab w:val="num" w:pos="993"/>
          <w:tab w:val="left" w:pos="6521"/>
          <w:tab w:val="decimal" w:pos="8789"/>
        </w:tabs>
        <w:spacing w:before="60"/>
        <w:ind w:left="709" w:firstLine="0"/>
        <w:rPr>
          <w:rFonts w:ascii="Arial" w:hAnsi="Arial"/>
        </w:rPr>
      </w:pPr>
      <w:r>
        <w:rPr>
          <w:rFonts w:ascii="Arial" w:hAnsi="Arial"/>
        </w:rPr>
        <w:t>Endabrechnungskosten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EUR</w:t>
      </w:r>
      <w:r>
        <w:rPr>
          <w:rFonts w:ascii="Arial" w:hAnsi="Arial"/>
          <w:u w:val="single"/>
        </w:rPr>
        <w:tab/>
      </w:r>
      <w:proofErr w:type="gramStart"/>
      <w:r>
        <w:rPr>
          <w:rFonts w:ascii="Arial" w:hAnsi="Arial"/>
          <w:u w:val="single"/>
        </w:rPr>
        <w:t>X.XXX.XXX,-</w:t>
      </w:r>
      <w:proofErr w:type="gramEnd"/>
    </w:p>
    <w:p>
      <w:pPr>
        <w:pStyle w:val="standardeinzug"/>
        <w:numPr>
          <w:ilvl w:val="1"/>
          <w:numId w:val="15"/>
        </w:numPr>
        <w:tabs>
          <w:tab w:val="clear" w:pos="1789"/>
          <w:tab w:val="num" w:pos="993"/>
          <w:tab w:val="left" w:pos="6521"/>
          <w:tab w:val="decimal" w:pos="8789"/>
        </w:tabs>
        <w:spacing w:before="120"/>
        <w:ind w:left="709" w:firstLine="0"/>
        <w:rPr>
          <w:rFonts w:ascii="Arial" w:hAnsi="Arial"/>
        </w:rPr>
      </w:pPr>
      <w:r>
        <w:rPr>
          <w:rFonts w:ascii="Arial" w:hAnsi="Arial"/>
        </w:rPr>
        <w:t>Unter-/Überschreitung der zugesicherten Kosten</w:t>
      </w:r>
      <w:r>
        <w:rPr>
          <w:rFonts w:ascii="Arial" w:hAnsi="Arial"/>
        </w:rPr>
        <w:tab/>
        <w:t>EUR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Y.YYY.YYY,-</w:t>
      </w:r>
      <w:proofErr w:type="gramEnd"/>
    </w:p>
    <w:p>
      <w:pPr>
        <w:pStyle w:val="standardeinzug"/>
        <w:tabs>
          <w:tab w:val="left" w:pos="6521"/>
          <w:tab w:val="decimal" w:pos="8789"/>
        </w:tabs>
        <w:rPr>
          <w:rFonts w:ascii="Arial" w:hAnsi="Arial"/>
        </w:rPr>
      </w:pPr>
      <w:r>
        <w:rPr>
          <w:rFonts w:ascii="Arial" w:hAnsi="Arial"/>
        </w:rPr>
        <w:tab/>
        <w:t xml:space="preserve">(das sind </w:t>
      </w:r>
      <w:r>
        <w:rPr>
          <w:rFonts w:ascii="Arial" w:hAnsi="Arial"/>
        </w:rPr>
        <w:tab/>
        <w:t>AA %)</w:t>
      </w:r>
    </w:p>
    <w:p>
      <w:pPr>
        <w:pStyle w:val="standardeinzug"/>
        <w:rPr>
          <w:rFonts w:ascii="Arial" w:hAnsi="Arial"/>
        </w:rPr>
      </w:pPr>
    </w:p>
    <w:p>
      <w:pPr>
        <w:pStyle w:val="standardeinzug"/>
        <w:ind w:right="-286"/>
        <w:rPr>
          <w:rFonts w:ascii="Arial" w:hAnsi="Arial"/>
          <w:i/>
        </w:rPr>
      </w:pPr>
      <w:r>
        <w:rPr>
          <w:rFonts w:ascii="Arial" w:hAnsi="Arial"/>
          <w:i/>
        </w:rPr>
        <w:t>&lt; Begründung bei wesentlichen Über- bzw. Unterschreitungen (ab 10 %) &gt;</w:t>
      </w:r>
    </w:p>
    <w:p>
      <w:pPr>
        <w:pStyle w:val="standardeinzug"/>
        <w:ind w:right="-286"/>
        <w:rPr>
          <w:rFonts w:ascii="Arial" w:hAnsi="Arial"/>
          <w:i/>
        </w:rPr>
      </w:pPr>
    </w:p>
    <w:p>
      <w:pPr>
        <w:pStyle w:val="standardeinzug"/>
        <w:keepNext/>
        <w:ind w:right="-286"/>
        <w:rPr>
          <w:rFonts w:ascii="Arial" w:hAnsi="Arial"/>
          <w:i/>
        </w:rPr>
      </w:pPr>
      <w:r>
        <w:rPr>
          <w:rFonts w:ascii="Arial" w:hAnsi="Arial"/>
          <w:i/>
        </w:rPr>
        <w:t>&lt; nachstehender Text nur bei Überschreitung von &gt;15 % der zugesicherten Kosten &gt;</w:t>
      </w:r>
    </w:p>
    <w:p>
      <w:pPr>
        <w:pStyle w:val="standardeinzug"/>
        <w:keepNext/>
        <w:rPr>
          <w:rFonts w:ascii="Arial" w:hAnsi="Arial"/>
        </w:rPr>
      </w:pPr>
      <w:r>
        <w:rPr>
          <w:rFonts w:ascii="Arial" w:hAnsi="Arial"/>
        </w:rPr>
        <w:t>Aufgliederung der Kostenüberschreitung von mehr als 15 %</w:t>
      </w:r>
    </w:p>
    <w:p>
      <w:pPr>
        <w:pStyle w:val="standardeinzug"/>
        <w:tabs>
          <w:tab w:val="left" w:pos="6521"/>
          <w:tab w:val="decimal" w:pos="8789"/>
        </w:tabs>
        <w:ind w:left="1134" w:hanging="567"/>
        <w:jc w:val="left"/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>Differenz Ausschreibungsergebnisse</w:t>
      </w:r>
      <w:r>
        <w:rPr>
          <w:rFonts w:ascii="Arial" w:hAnsi="Arial"/>
          <w:lang w:val="de-AT"/>
        </w:rPr>
        <w:br/>
        <w:t>zur Kostenschätzung</w:t>
      </w:r>
      <w:r>
        <w:rPr>
          <w:rFonts w:ascii="Arial" w:hAnsi="Arial"/>
          <w:lang w:val="de-AT"/>
        </w:rPr>
        <w:tab/>
        <w:t>EUR</w:t>
      </w:r>
      <w:r>
        <w:rPr>
          <w:rFonts w:ascii="Arial" w:hAnsi="Arial"/>
          <w:lang w:val="de-AT"/>
        </w:rPr>
        <w:tab/>
        <w:t>AAA.AAA,-</w:t>
      </w:r>
    </w:p>
    <w:p>
      <w:pPr>
        <w:pStyle w:val="standardeinzug"/>
        <w:tabs>
          <w:tab w:val="left" w:pos="6521"/>
          <w:tab w:val="decimal" w:pos="8789"/>
        </w:tabs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>Unerwartete Erschwernisse</w:t>
      </w:r>
      <w:r>
        <w:rPr>
          <w:rFonts w:ascii="Arial" w:hAnsi="Arial"/>
          <w:lang w:val="de-AT"/>
        </w:rPr>
        <w:tab/>
        <w:t>EUR</w:t>
      </w:r>
      <w:r>
        <w:rPr>
          <w:rFonts w:ascii="Arial" w:hAnsi="Arial"/>
          <w:lang w:val="de-AT"/>
        </w:rPr>
        <w:tab/>
      </w:r>
      <w:proofErr w:type="gramStart"/>
      <w:r>
        <w:rPr>
          <w:rFonts w:ascii="Arial" w:hAnsi="Arial"/>
          <w:lang w:val="de-AT"/>
        </w:rPr>
        <w:t>EEE.EEE,-</w:t>
      </w:r>
      <w:proofErr w:type="gramEnd"/>
    </w:p>
    <w:p>
      <w:pPr>
        <w:pStyle w:val="standardeinzug"/>
        <w:tabs>
          <w:tab w:val="left" w:pos="6521"/>
          <w:tab w:val="decimal" w:pos="8789"/>
        </w:tabs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lastRenderedPageBreak/>
        <w:t>Lohn- und Preiserhöhungen</w:t>
      </w:r>
      <w:r>
        <w:rPr>
          <w:rFonts w:ascii="Arial" w:hAnsi="Arial"/>
          <w:lang w:val="de-AT"/>
        </w:rPr>
        <w:tab/>
        <w:t>EUR</w:t>
      </w:r>
      <w:r>
        <w:rPr>
          <w:rFonts w:ascii="Arial" w:hAnsi="Arial"/>
          <w:lang w:val="de-AT"/>
        </w:rPr>
        <w:tab/>
      </w:r>
      <w:proofErr w:type="gramStart"/>
      <w:r>
        <w:rPr>
          <w:rFonts w:ascii="Arial" w:hAnsi="Arial"/>
          <w:lang w:val="de-AT"/>
        </w:rPr>
        <w:t>PPP.PPP,-</w:t>
      </w:r>
      <w:proofErr w:type="gramEnd"/>
    </w:p>
    <w:p>
      <w:pPr>
        <w:pStyle w:val="standardeinzug"/>
        <w:tabs>
          <w:tab w:val="left" w:pos="6521"/>
          <w:tab w:val="decimal" w:pos="8789"/>
        </w:tabs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>Bauumfangsänderungen</w:t>
      </w:r>
      <w:r>
        <w:rPr>
          <w:rFonts w:ascii="Arial" w:hAnsi="Arial"/>
          <w:lang w:val="de-AT"/>
        </w:rPr>
        <w:tab/>
      </w:r>
      <w:r>
        <w:rPr>
          <w:rFonts w:ascii="Arial" w:hAnsi="Arial"/>
          <w:u w:val="single"/>
          <w:lang w:val="de-AT"/>
        </w:rPr>
        <w:t>EUR</w:t>
      </w:r>
      <w:r>
        <w:rPr>
          <w:rFonts w:ascii="Arial" w:hAnsi="Arial"/>
          <w:u w:val="single"/>
          <w:lang w:val="de-AT"/>
        </w:rPr>
        <w:tab/>
      </w:r>
      <w:proofErr w:type="gramStart"/>
      <w:r>
        <w:rPr>
          <w:rFonts w:ascii="Arial" w:hAnsi="Arial"/>
          <w:u w:val="single"/>
          <w:lang w:val="de-AT"/>
        </w:rPr>
        <w:t>BBB.BBB,-</w:t>
      </w:r>
      <w:proofErr w:type="gramEnd"/>
    </w:p>
    <w:p>
      <w:pPr>
        <w:pStyle w:val="standardeinzug"/>
        <w:tabs>
          <w:tab w:val="left" w:pos="6521"/>
          <w:tab w:val="decimal" w:pos="8789"/>
        </w:tabs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>Summe der Kostenüberschreitung</w:t>
      </w:r>
      <w:r>
        <w:rPr>
          <w:rFonts w:ascii="Arial" w:hAnsi="Arial"/>
          <w:lang w:val="de-AT"/>
        </w:rPr>
        <w:tab/>
        <w:t>EUR</w:t>
      </w:r>
      <w:r>
        <w:rPr>
          <w:rFonts w:ascii="Arial" w:hAnsi="Arial"/>
          <w:lang w:val="de-AT"/>
        </w:rPr>
        <w:tab/>
      </w:r>
      <w:proofErr w:type="gramStart"/>
      <w:r>
        <w:rPr>
          <w:rFonts w:ascii="Arial" w:hAnsi="Arial"/>
          <w:lang w:val="de-AT"/>
        </w:rPr>
        <w:t>S.SSS.SSS,-</w:t>
      </w:r>
      <w:proofErr w:type="gramEnd"/>
    </w:p>
    <w:p>
      <w:pPr>
        <w:pStyle w:val="standardeinzug"/>
        <w:rPr>
          <w:rFonts w:ascii="Arial" w:hAnsi="Arial"/>
        </w:rPr>
      </w:pPr>
    </w:p>
    <w:p>
      <w:pPr>
        <w:pStyle w:val="standardeinzug"/>
        <w:rPr>
          <w:rFonts w:ascii="Arial" w:hAnsi="Arial"/>
        </w:rPr>
      </w:pPr>
      <w:r>
        <w:rPr>
          <w:rFonts w:ascii="Arial" w:hAnsi="Arial"/>
        </w:rPr>
        <w:t>Die Meldung der Kostenüberschreitung an die KPC erfolgte am XX.XX.XXXX.</w:t>
      </w:r>
    </w:p>
    <w:p>
      <w:pPr>
        <w:pStyle w:val="berschrift1a"/>
        <w:ind w:firstLine="0"/>
        <w:rPr>
          <w:rFonts w:ascii="Arial" w:hAnsi="Arial"/>
          <w:b w:val="0"/>
          <w:i/>
          <w:u w:val="none"/>
        </w:rPr>
      </w:pPr>
      <w:r>
        <w:rPr>
          <w:rFonts w:ascii="Arial" w:hAnsi="Arial"/>
          <w:b w:val="0"/>
          <w:i/>
          <w:u w:val="none"/>
        </w:rPr>
        <w:t>&lt; Wenn ab September 2022 in der Förderungszusicherung des NÖ WWF die Investitionskosten – abgesehen vom LIS – weiter aufgeteilt sind, sind auch die Endabrechnungskosten entsprechend zu gliedern; Berechnung der Beträge muss aus Katalog oder einer eigenen Beilage nachvollziehbar sein: &gt;</w:t>
      </w:r>
    </w:p>
    <w:p>
      <w:pPr>
        <w:pStyle w:val="berschrift1a"/>
        <w:ind w:firstLine="0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 xml:space="preserve">von den Endabrechnungskosten entfallen auf </w:t>
      </w:r>
    </w:p>
    <w:p>
      <w:pPr>
        <w:pStyle w:val="standardeinzug"/>
        <w:tabs>
          <w:tab w:val="left" w:pos="6521"/>
          <w:tab w:val="decimal" w:pos="8789"/>
        </w:tabs>
        <w:ind w:left="1134" w:hanging="567"/>
        <w:jc w:val="left"/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>Versorgungssicherheit</w:t>
      </w:r>
      <w:r>
        <w:rPr>
          <w:rFonts w:ascii="Arial" w:hAnsi="Arial"/>
          <w:lang w:val="de-AT"/>
        </w:rPr>
        <w:tab/>
        <w:t>EUR</w:t>
      </w:r>
      <w:r>
        <w:rPr>
          <w:rFonts w:ascii="Arial" w:hAnsi="Arial"/>
          <w:lang w:val="de-AT"/>
        </w:rPr>
        <w:tab/>
      </w:r>
      <w:proofErr w:type="gramStart"/>
      <w:r>
        <w:rPr>
          <w:rFonts w:ascii="Arial" w:hAnsi="Arial"/>
          <w:lang w:val="de-AT"/>
        </w:rPr>
        <w:t>VVV.VVV,-</w:t>
      </w:r>
      <w:proofErr w:type="gramEnd"/>
    </w:p>
    <w:p>
      <w:pPr>
        <w:pStyle w:val="standardeinzug"/>
        <w:tabs>
          <w:tab w:val="left" w:pos="6521"/>
          <w:tab w:val="decimal" w:pos="8789"/>
        </w:tabs>
        <w:ind w:left="1134" w:hanging="567"/>
        <w:jc w:val="left"/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 xml:space="preserve">Versickerung/Retention </w:t>
      </w:r>
      <w:proofErr w:type="spellStart"/>
      <w:r>
        <w:rPr>
          <w:rFonts w:ascii="Arial" w:hAnsi="Arial"/>
          <w:lang w:val="de-AT"/>
        </w:rPr>
        <w:t>Niederschlagsw</w:t>
      </w:r>
      <w:proofErr w:type="spellEnd"/>
      <w:r>
        <w:rPr>
          <w:rFonts w:ascii="Arial" w:hAnsi="Arial"/>
          <w:lang w:val="de-AT"/>
        </w:rPr>
        <w:t>. neue Gebiete</w:t>
      </w:r>
      <w:r>
        <w:rPr>
          <w:rFonts w:ascii="Arial" w:hAnsi="Arial"/>
          <w:lang w:val="de-AT"/>
        </w:rPr>
        <w:tab/>
        <w:t>EUR</w:t>
      </w:r>
      <w:r>
        <w:rPr>
          <w:rFonts w:ascii="Arial" w:hAnsi="Arial"/>
          <w:lang w:val="de-AT"/>
        </w:rPr>
        <w:tab/>
      </w:r>
      <w:proofErr w:type="gramStart"/>
      <w:r>
        <w:rPr>
          <w:rFonts w:ascii="Arial" w:hAnsi="Arial"/>
          <w:lang w:val="de-AT"/>
        </w:rPr>
        <w:t>NNN.NNN,-</w:t>
      </w:r>
      <w:proofErr w:type="gramEnd"/>
    </w:p>
    <w:p>
      <w:pPr>
        <w:pStyle w:val="standardeinzug"/>
        <w:tabs>
          <w:tab w:val="left" w:pos="6521"/>
          <w:tab w:val="decimal" w:pos="8789"/>
        </w:tabs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 xml:space="preserve">Versickerung/Retention </w:t>
      </w:r>
      <w:proofErr w:type="spellStart"/>
      <w:r>
        <w:rPr>
          <w:rFonts w:ascii="Arial" w:hAnsi="Arial"/>
          <w:lang w:val="de-AT"/>
        </w:rPr>
        <w:t>Niederschlagsw</w:t>
      </w:r>
      <w:proofErr w:type="spellEnd"/>
      <w:r>
        <w:rPr>
          <w:rFonts w:ascii="Arial" w:hAnsi="Arial"/>
          <w:lang w:val="de-AT"/>
        </w:rPr>
        <w:t>. Bestand</w:t>
      </w:r>
      <w:r>
        <w:rPr>
          <w:rFonts w:ascii="Arial" w:hAnsi="Arial"/>
          <w:lang w:val="de-AT"/>
        </w:rPr>
        <w:tab/>
        <w:t>EUR</w:t>
      </w:r>
      <w:r>
        <w:rPr>
          <w:rFonts w:ascii="Arial" w:hAnsi="Arial"/>
          <w:lang w:val="de-AT"/>
        </w:rPr>
        <w:tab/>
      </w:r>
      <w:proofErr w:type="gramStart"/>
      <w:r>
        <w:rPr>
          <w:rFonts w:ascii="Arial" w:hAnsi="Arial"/>
          <w:lang w:val="de-AT"/>
        </w:rPr>
        <w:t>RRR.RRR,-</w:t>
      </w:r>
      <w:proofErr w:type="gramEnd"/>
    </w:p>
    <w:p>
      <w:pPr>
        <w:pStyle w:val="standardeinzug"/>
        <w:tabs>
          <w:tab w:val="left" w:pos="6521"/>
          <w:tab w:val="decimal" w:pos="8789"/>
        </w:tabs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>Blackout-Vorsorge</w:t>
      </w:r>
      <w:r>
        <w:rPr>
          <w:rFonts w:ascii="Arial" w:hAnsi="Arial"/>
          <w:lang w:val="de-AT"/>
        </w:rPr>
        <w:tab/>
        <w:t>EUR</w:t>
      </w:r>
      <w:r>
        <w:rPr>
          <w:rFonts w:ascii="Arial" w:hAnsi="Arial"/>
          <w:lang w:val="de-AT"/>
        </w:rPr>
        <w:tab/>
      </w:r>
      <w:proofErr w:type="gramStart"/>
      <w:r>
        <w:rPr>
          <w:rFonts w:ascii="Arial" w:hAnsi="Arial"/>
          <w:lang w:val="de-AT"/>
        </w:rPr>
        <w:t>BBB.BBB,-</w:t>
      </w:r>
      <w:proofErr w:type="gramEnd"/>
    </w:p>
    <w:p>
      <w:pPr>
        <w:pStyle w:val="standardeinzug"/>
        <w:tabs>
          <w:tab w:val="left" w:pos="6521"/>
          <w:tab w:val="decimal" w:pos="8789"/>
        </w:tabs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>strategische Konzepte</w:t>
      </w:r>
      <w:r>
        <w:rPr>
          <w:rFonts w:ascii="Arial" w:hAnsi="Arial"/>
          <w:lang w:val="de-AT"/>
        </w:rPr>
        <w:tab/>
        <w:t>EUR</w:t>
      </w:r>
      <w:r>
        <w:rPr>
          <w:rFonts w:ascii="Arial" w:hAnsi="Arial"/>
          <w:lang w:val="de-AT"/>
        </w:rPr>
        <w:tab/>
      </w:r>
      <w:proofErr w:type="gramStart"/>
      <w:r>
        <w:rPr>
          <w:rFonts w:ascii="Arial" w:hAnsi="Arial"/>
          <w:lang w:val="de-AT"/>
        </w:rPr>
        <w:t>KKK.KKK,-</w:t>
      </w:r>
      <w:proofErr w:type="gramEnd"/>
    </w:p>
    <w:p>
      <w:pPr>
        <w:pStyle w:val="berschrift1a"/>
        <w:rPr>
          <w:rFonts w:ascii="Arial" w:hAnsi="Arial"/>
          <w:b w:val="0"/>
          <w:u w:val="none"/>
        </w:rPr>
      </w:pPr>
    </w:p>
    <w:p>
      <w:pPr>
        <w:pStyle w:val="berschrift1a"/>
        <w:rPr>
          <w:rFonts w:ascii="Arial" w:hAnsi="Arial"/>
          <w:b w:val="0"/>
          <w:u w:val="none"/>
        </w:rPr>
      </w:pPr>
    </w:p>
    <w:p>
      <w:pPr>
        <w:pStyle w:val="berschrift1a"/>
        <w:keepNext/>
        <w:rPr>
          <w:rFonts w:ascii="Arial" w:hAnsi="Arial"/>
        </w:rPr>
      </w:pPr>
      <w:bookmarkStart w:id="8" w:name="_Toc58244591"/>
      <w:r>
        <w:rPr>
          <w:rFonts w:ascii="Arial" w:hAnsi="Arial"/>
        </w:rPr>
        <w:t>8.</w:t>
      </w:r>
      <w:r>
        <w:rPr>
          <w:rFonts w:ascii="Arial" w:hAnsi="Arial"/>
        </w:rPr>
        <w:tab/>
        <w:t>Stellungnahmen</w:t>
      </w:r>
      <w:bookmarkEnd w:id="8"/>
    </w:p>
    <w:p>
      <w:pPr>
        <w:pStyle w:val="berschrift2a"/>
        <w:keepNext/>
        <w:rPr>
          <w:rFonts w:ascii="Arial" w:hAnsi="Arial"/>
        </w:rPr>
      </w:pPr>
    </w:p>
    <w:p>
      <w:pPr>
        <w:pStyle w:val="berschrift2a"/>
        <w:keepNext/>
        <w:rPr>
          <w:rFonts w:ascii="Arial" w:hAnsi="Arial"/>
        </w:rPr>
      </w:pPr>
      <w:r>
        <w:rPr>
          <w:rFonts w:ascii="Arial" w:hAnsi="Arial"/>
        </w:rPr>
        <w:t>8.1</w:t>
      </w:r>
      <w:r>
        <w:rPr>
          <w:rFonts w:ascii="Arial" w:hAnsi="Arial"/>
        </w:rPr>
        <w:tab/>
        <w:t>Angaben zu Prüfmaßnahmen</w:t>
      </w:r>
    </w:p>
    <w:p>
      <w:pPr>
        <w:pStyle w:val="standardeinzug"/>
        <w:keepNext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&lt; Bestätigung, dass die ordnungsgemäße Funktionsfähigkeit und Dichtheit der Anlagen geprüft wurde und gegeben ist. &gt;</w:t>
      </w:r>
    </w:p>
    <w:p>
      <w:pPr>
        <w:pStyle w:val="FormatvorlagestandardeinzugArial"/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8.2</w:t>
      </w:r>
      <w:r>
        <w:rPr>
          <w:rFonts w:ascii="Arial" w:hAnsi="Arial"/>
        </w:rPr>
        <w:tab/>
        <w:t>Straßenwiederherstellung</w:t>
      </w:r>
    </w:p>
    <w:p>
      <w:pPr>
        <w:pStyle w:val="FormatvorlagestandardeinzugArial"/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 xml:space="preserve">&lt; Bestätigung, dass das förderfähige Ausmaß der Straßenwiederherstellung gemäß den Bestimmungen der Bundesförderung lt. Spezialthemen ermittelt wurde. </w:t>
      </w: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oder</w:t>
      </w: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Hinweis, dass es keine Straßenwiederherstellungen gegeben hat. &gt;</w:t>
      </w:r>
    </w:p>
    <w:p>
      <w:pPr>
        <w:pStyle w:val="FormatvorlagestandardeinzugArial"/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8.3</w:t>
      </w:r>
      <w:r>
        <w:rPr>
          <w:rFonts w:ascii="Arial" w:hAnsi="Arial"/>
        </w:rPr>
        <w:tab/>
        <w:t>Vollzug der abfallrechtlichen Bestimmungen</w:t>
      </w:r>
    </w:p>
    <w:p>
      <w:pPr>
        <w:pStyle w:val="standardeinzug"/>
        <w:rPr>
          <w:rFonts w:ascii="Arial" w:hAnsi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/>
          <w:i/>
        </w:rPr>
        <w:t>&lt; Stellungnahme zum Vollzug der abfallrechtlichen Bestimmungen (auch bei LIS-Bauabschnitten). &gt;</w:t>
      </w:r>
    </w:p>
    <w:p>
      <w:pPr>
        <w:pStyle w:val="FormatvorlagestandardeinzugArial"/>
      </w:pPr>
    </w:p>
    <w:p>
      <w:pPr>
        <w:pStyle w:val="berschrift2a"/>
        <w:rPr>
          <w:rFonts w:ascii="Arial" w:hAnsi="Arial"/>
        </w:rPr>
      </w:pPr>
      <w:r>
        <w:rPr>
          <w:rFonts w:ascii="Arial" w:hAnsi="Arial"/>
        </w:rPr>
        <w:t>8.4</w:t>
      </w:r>
      <w:r>
        <w:rPr>
          <w:rFonts w:ascii="Arial" w:hAnsi="Arial"/>
        </w:rPr>
        <w:tab/>
        <w:t>Nachweis der Funktionsfähigkeit</w:t>
      </w:r>
    </w:p>
    <w:p>
      <w:pPr>
        <w:pStyle w:val="FormatvorlagestandardeinzugArial"/>
      </w:pPr>
    </w:p>
    <w:p>
      <w:pPr>
        <w:pStyle w:val="standardeinzug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 Aussage, dass sich der FN beim Betrieb der Anlage einer fachkundigen Person bedient und die Auflagen der wasserrechtlichen Bewilligung eingehalten werden. &gt;</w:t>
      </w:r>
    </w:p>
    <w:p>
      <w:pPr>
        <w:pStyle w:val="standardeinzug"/>
        <w:rPr>
          <w:rFonts w:ascii="Arial" w:hAnsi="Arial" w:cs="Arial"/>
          <w:i/>
        </w:rPr>
      </w:pPr>
    </w:p>
    <w:p>
      <w:pPr>
        <w:pStyle w:val="standardeinzug"/>
        <w:rPr>
          <w:rFonts w:ascii="Arial" w:hAnsi="Arial"/>
          <w:i/>
        </w:rPr>
      </w:pPr>
      <w:r>
        <w:rPr>
          <w:rFonts w:ascii="Arial" w:hAnsi="Arial" w:cs="Arial"/>
          <w:i/>
        </w:rPr>
        <w:t>&lt; Bei Kläranlage oder Wasserspender im BA: Hinweis auf positiven Unter</w:t>
      </w:r>
      <w:r>
        <w:rPr>
          <w:rFonts w:ascii="Arial" w:hAnsi="Arial" w:cs="Arial"/>
          <w:i/>
        </w:rPr>
        <w:softHyphen/>
        <w:t>suchungsbefund &gt;</w:t>
      </w:r>
    </w:p>
    <w:sectPr>
      <w:headerReference w:type="default" r:id="rId8"/>
      <w:headerReference w:type="first" r:id="rId9"/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4536"/>
        <w:tab w:val="left" w:pos="5103"/>
      </w:tabs>
      <w:rPr>
        <w:rFonts w:ascii="Arial" w:hAnsi="Arial" w:cs="Arial"/>
        <w:smallCaps/>
        <w:szCs w:val="22"/>
      </w:rPr>
    </w:pPr>
    <w:r>
      <w:rPr>
        <w:rFonts w:ascii="Arial" w:hAnsi="Arial" w:cs="Arial"/>
        <w:smallCaps/>
        <w:szCs w:val="22"/>
      </w:rPr>
      <w:t>Muster  Kollaudierungsbericht</w:t>
    </w:r>
    <w:r>
      <w:rPr>
        <w:rFonts w:ascii="Arial" w:hAnsi="Arial" w:cs="Arial"/>
        <w:smallCaps/>
        <w:szCs w:val="22"/>
      </w:rPr>
      <w:tab/>
      <w:t>Version 07/2023</w:t>
    </w:r>
    <w:r>
      <w:rPr>
        <w:rFonts w:ascii="Arial" w:hAnsi="Arial" w:cs="Arial"/>
        <w:smallCaps/>
        <w:szCs w:val="22"/>
      </w:rPr>
      <w:tab/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7</w:t>
    </w:r>
    <w:r>
      <w:rPr>
        <w:rStyle w:val="Seitenzahl"/>
        <w:rFonts w:ascii="Arial" w:hAnsi="Arial" w:cs="Arial"/>
      </w:rPr>
      <w:fldChar w:fldCharType="end"/>
    </w:r>
  </w:p>
  <w:p>
    <w:pPr>
      <w:pStyle w:val="Kopfzeile"/>
      <w:spacing w:line="100" w:lineRule="exact"/>
      <w:rPr>
        <w:smallCaps/>
        <w:szCs w:val="22"/>
        <w:u w:val="single"/>
      </w:rPr>
    </w:pPr>
    <w:r>
      <w:rPr>
        <w:smallCaps/>
        <w:szCs w:val="22"/>
        <w:u w:val="single"/>
      </w:rPr>
      <w:tab/>
    </w:r>
    <w:r>
      <w:rPr>
        <w:smallCaps/>
        <w:szCs w:val="22"/>
        <w:u w:val="single"/>
      </w:rPr>
      <w:tab/>
    </w:r>
  </w:p>
  <w:p>
    <w:pPr>
      <w:pStyle w:val="Kopfzeile"/>
      <w:rPr>
        <w:smallCaps/>
        <w:szCs w:val="22"/>
      </w:rPr>
    </w:pPr>
  </w:p>
  <w:p>
    <w:pPr>
      <w:pStyle w:val="Kopfzeile"/>
      <w:rPr>
        <w:smallCaps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4536"/>
        <w:tab w:val="left" w:pos="5670"/>
      </w:tabs>
      <w:rPr>
        <w:smallCaps/>
        <w:szCs w:val="22"/>
      </w:rPr>
    </w:pPr>
    <w:r>
      <w:rPr>
        <w:smallCaps/>
        <w:szCs w:val="22"/>
      </w:rPr>
      <w:t>Muster  Kollaudierungsbericht</w:t>
    </w:r>
    <w:r>
      <w:rPr>
        <w:smallCaps/>
        <w:szCs w:val="22"/>
      </w:rPr>
      <w:tab/>
      <w:t>Version 09/2009</w:t>
    </w:r>
    <w:r>
      <w:rPr>
        <w:smallCaps/>
        <w:szCs w:val="22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>
    <w:pPr>
      <w:pStyle w:val="Kopfzeile"/>
      <w:spacing w:line="100" w:lineRule="exact"/>
      <w:rPr>
        <w:smallCaps/>
        <w:szCs w:val="22"/>
        <w:u w:val="single"/>
      </w:rPr>
    </w:pPr>
    <w:r>
      <w:rPr>
        <w:smallCaps/>
        <w:szCs w:val="22"/>
        <w:u w:val="single"/>
      </w:rPr>
      <w:tab/>
    </w:r>
    <w:r>
      <w:rPr>
        <w:smallCaps/>
        <w:szCs w:val="22"/>
        <w:u w:val="single"/>
      </w:rPr>
      <w:tab/>
    </w:r>
  </w:p>
  <w:p>
    <w:pPr>
      <w:pStyle w:val="Kopfzeile"/>
      <w:rPr>
        <w:smallCaps/>
        <w:szCs w:val="22"/>
      </w:rPr>
    </w:pPr>
  </w:p>
  <w:p>
    <w:pPr>
      <w:pStyle w:val="Kopfzeile"/>
      <w:rPr>
        <w:smallCap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F1A"/>
    <w:multiLevelType w:val="hybridMultilevel"/>
    <w:tmpl w:val="7FDC84FC"/>
    <w:lvl w:ilvl="0" w:tplc="0C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173F86"/>
    <w:multiLevelType w:val="hybridMultilevel"/>
    <w:tmpl w:val="7A2A1862"/>
    <w:lvl w:ilvl="0" w:tplc="8D7C5C1E">
      <w:start w:val="5"/>
      <w:numFmt w:val="bullet"/>
      <w:lvlText w:val="-"/>
      <w:lvlJc w:val="left"/>
      <w:pPr>
        <w:tabs>
          <w:tab w:val="num" w:pos="1417"/>
        </w:tabs>
        <w:ind w:left="1417" w:hanging="708"/>
      </w:pPr>
      <w:rPr>
        <w:rFonts w:ascii="Century Gothic" w:eastAsia="Times New Roman" w:hAnsi="Century Gothic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56247"/>
    <w:multiLevelType w:val="hybridMultilevel"/>
    <w:tmpl w:val="46823726"/>
    <w:lvl w:ilvl="0" w:tplc="CD30614A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BF4A89"/>
    <w:multiLevelType w:val="hybridMultilevel"/>
    <w:tmpl w:val="E61C4B1A"/>
    <w:lvl w:ilvl="0" w:tplc="CEA4FFA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7E6951"/>
    <w:multiLevelType w:val="multilevel"/>
    <w:tmpl w:val="7FDC84F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857668"/>
    <w:multiLevelType w:val="hybridMultilevel"/>
    <w:tmpl w:val="28826DE8"/>
    <w:lvl w:ilvl="0" w:tplc="F9F6EA9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660321F"/>
    <w:multiLevelType w:val="hybridMultilevel"/>
    <w:tmpl w:val="C2BC21C8"/>
    <w:lvl w:ilvl="0" w:tplc="0EFEA8E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8B01E90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Century Gothic" w:eastAsia="Times New Roman" w:hAnsi="Century Gothic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18B2D0D"/>
    <w:multiLevelType w:val="hybridMultilevel"/>
    <w:tmpl w:val="0FDA75B0"/>
    <w:lvl w:ilvl="0" w:tplc="5ED8FF98">
      <w:start w:val="2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533776"/>
    <w:multiLevelType w:val="multilevel"/>
    <w:tmpl w:val="0FDA75B0"/>
    <w:lvl w:ilvl="0">
      <w:start w:val="2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1E7643"/>
    <w:multiLevelType w:val="hybridMultilevel"/>
    <w:tmpl w:val="08309C68"/>
    <w:lvl w:ilvl="0" w:tplc="28442B7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51E26A7"/>
    <w:multiLevelType w:val="hybridMultilevel"/>
    <w:tmpl w:val="23E2E8EC"/>
    <w:lvl w:ilvl="0" w:tplc="28442B7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91582E"/>
    <w:multiLevelType w:val="hybridMultilevel"/>
    <w:tmpl w:val="37029734"/>
    <w:lvl w:ilvl="0" w:tplc="E0420814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Century Gothic" w:hAnsi="Century Gothic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CC4B44"/>
    <w:multiLevelType w:val="hybridMultilevel"/>
    <w:tmpl w:val="8F509976"/>
    <w:lvl w:ilvl="0" w:tplc="8E98C196">
      <w:start w:val="8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A874430"/>
    <w:multiLevelType w:val="hybridMultilevel"/>
    <w:tmpl w:val="5B7E6934"/>
    <w:lvl w:ilvl="0" w:tplc="C25835D6">
      <w:start w:val="1"/>
      <w:numFmt w:val="bullet"/>
      <w:lvlText w:val="-"/>
      <w:lvlJc w:val="left"/>
      <w:pPr>
        <w:tabs>
          <w:tab w:val="num" w:pos="709"/>
        </w:tabs>
        <w:ind w:left="993" w:hanging="284"/>
      </w:pPr>
      <w:rPr>
        <w:rFonts w:ascii="Century Gothic" w:eastAsia="Times New Roman" w:hAnsi="Century Gothic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B190A78"/>
    <w:multiLevelType w:val="hybridMultilevel"/>
    <w:tmpl w:val="A08A4024"/>
    <w:lvl w:ilvl="0" w:tplc="E0420814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Century Gothic" w:hAnsi="Century Gothic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FF118B"/>
    <w:multiLevelType w:val="hybridMultilevel"/>
    <w:tmpl w:val="57B88214"/>
    <w:lvl w:ilvl="0" w:tplc="28442B7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8A5223"/>
    <w:multiLevelType w:val="hybridMultilevel"/>
    <w:tmpl w:val="C156988E"/>
    <w:lvl w:ilvl="0" w:tplc="5D1C753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67BE272D"/>
    <w:multiLevelType w:val="hybridMultilevel"/>
    <w:tmpl w:val="FFB8DE88"/>
    <w:lvl w:ilvl="0" w:tplc="3A74E8FE">
      <w:start w:val="4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F65490D"/>
    <w:multiLevelType w:val="hybridMultilevel"/>
    <w:tmpl w:val="6BDC5D7E"/>
    <w:lvl w:ilvl="0" w:tplc="D7E61BD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A8805F0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Century Gothic" w:eastAsia="Times New Roman" w:hAnsi="Century Gothic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2127791"/>
    <w:multiLevelType w:val="multilevel"/>
    <w:tmpl w:val="7A2A1862"/>
    <w:lvl w:ilvl="0">
      <w:start w:val="5"/>
      <w:numFmt w:val="bullet"/>
      <w:lvlText w:val="-"/>
      <w:lvlJc w:val="left"/>
      <w:pPr>
        <w:tabs>
          <w:tab w:val="num" w:pos="1417"/>
        </w:tabs>
        <w:ind w:left="1417" w:hanging="708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19"/>
  </w:num>
  <w:num w:numId="8">
    <w:abstractNumId w:val="13"/>
  </w:num>
  <w:num w:numId="9">
    <w:abstractNumId w:val="16"/>
  </w:num>
  <w:num w:numId="10">
    <w:abstractNumId w:val="14"/>
  </w:num>
  <w:num w:numId="11">
    <w:abstractNumId w:val="11"/>
  </w:num>
  <w:num w:numId="12">
    <w:abstractNumId w:val="9"/>
  </w:num>
  <w:num w:numId="13">
    <w:abstractNumId w:val="6"/>
  </w:num>
  <w:num w:numId="14">
    <w:abstractNumId w:val="5"/>
  </w:num>
  <w:num w:numId="15">
    <w:abstractNumId w:val="18"/>
  </w:num>
  <w:num w:numId="16">
    <w:abstractNumId w:val="10"/>
  </w:num>
  <w:num w:numId="17">
    <w:abstractNumId w:val="15"/>
  </w:num>
  <w:num w:numId="18">
    <w:abstractNumId w:val="0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73534-40C0-4FF7-94CC-CC507EE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1"/>
    <w:qFormat/>
    <w:pPr>
      <w:spacing w:line="300" w:lineRule="exact"/>
    </w:pPr>
    <w:rPr>
      <w:rFonts w:ascii="Century Gothic" w:hAnsi="Century Gothic"/>
      <w:spacing w:val="4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Standard"/>
    <w:pPr>
      <w:tabs>
        <w:tab w:val="left" w:pos="567"/>
      </w:tabs>
      <w:jc w:val="both"/>
    </w:pPr>
    <w:rPr>
      <w:b/>
      <w:bCs/>
      <w:u w:val="single"/>
    </w:rPr>
  </w:style>
  <w:style w:type="paragraph" w:customStyle="1" w:styleId="2">
    <w:name w:val="Ü2"/>
    <w:basedOn w:val="Standard"/>
    <w:pPr>
      <w:tabs>
        <w:tab w:val="left" w:pos="567"/>
      </w:tabs>
      <w:jc w:val="both"/>
    </w:pPr>
    <w:rPr>
      <w:u w:val="single"/>
    </w:rPr>
  </w:style>
  <w:style w:type="paragraph" w:customStyle="1" w:styleId="3">
    <w:name w:val="Ü3"/>
    <w:basedOn w:val="Standard"/>
    <w:pPr>
      <w:tabs>
        <w:tab w:val="left" w:pos="567"/>
      </w:tabs>
      <w:ind w:left="567" w:hanging="567"/>
      <w:jc w:val="both"/>
    </w:pPr>
  </w:style>
  <w:style w:type="paragraph" w:customStyle="1" w:styleId="standardeinzug">
    <w:name w:val="standardeinzug"/>
    <w:basedOn w:val="Standard"/>
    <w:pPr>
      <w:ind w:left="567"/>
      <w:jc w:val="both"/>
    </w:pPr>
  </w:style>
  <w:style w:type="paragraph" w:styleId="Verzeichnis1">
    <w:name w:val="toc 1"/>
    <w:aliases w:val="V1"/>
    <w:basedOn w:val="Standard"/>
    <w:next w:val="Standard"/>
    <w:autoRedefine/>
    <w:uiPriority w:val="39"/>
    <w:pPr>
      <w:tabs>
        <w:tab w:val="left" w:pos="709"/>
        <w:tab w:val="right" w:pos="9072"/>
      </w:tabs>
      <w:spacing w:before="120"/>
    </w:pPr>
    <w:rPr>
      <w:rFonts w:ascii="Arial" w:hAnsi="Arial"/>
      <w:b/>
    </w:rPr>
  </w:style>
  <w:style w:type="paragraph" w:styleId="Verzeichnis2">
    <w:name w:val="toc 2"/>
    <w:aliases w:val="V2"/>
    <w:basedOn w:val="Standard"/>
    <w:next w:val="Standard"/>
    <w:autoRedefine/>
    <w:uiPriority w:val="39"/>
    <w:pPr>
      <w:tabs>
        <w:tab w:val="left" w:pos="709"/>
        <w:tab w:val="right" w:pos="9072"/>
      </w:tabs>
      <w:spacing w:line="380" w:lineRule="exact"/>
    </w:pPr>
  </w:style>
  <w:style w:type="paragraph" w:styleId="Verzeichnis3">
    <w:name w:val="toc 3"/>
    <w:aliases w:val="V3"/>
    <w:basedOn w:val="Standard"/>
    <w:next w:val="Standard"/>
    <w:autoRedefine/>
    <w:semiHidden/>
    <w:pPr>
      <w:tabs>
        <w:tab w:val="left" w:pos="709"/>
        <w:tab w:val="right" w:pos="9072"/>
      </w:tabs>
      <w:spacing w:line="380" w:lineRule="exact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customStyle="1" w:styleId="berschrift1a">
    <w:name w:val="Überschrift 1a"/>
    <w:basedOn w:val="Standard"/>
    <w:pPr>
      <w:ind w:left="567" w:hanging="567"/>
    </w:pPr>
    <w:rPr>
      <w:b/>
      <w:u w:val="single"/>
    </w:rPr>
  </w:style>
  <w:style w:type="paragraph" w:customStyle="1" w:styleId="berschrift2a">
    <w:name w:val="Überschrift 2a"/>
    <w:basedOn w:val="Standard"/>
    <w:pPr>
      <w:ind w:left="567" w:hanging="567"/>
    </w:pPr>
    <w:rPr>
      <w:u w:val="single"/>
    </w:rPr>
  </w:style>
  <w:style w:type="paragraph" w:customStyle="1" w:styleId="berschrift3a">
    <w:name w:val="Überschrift 3a"/>
    <w:basedOn w:val="Standard"/>
    <w:pPr>
      <w:ind w:left="709" w:hanging="709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4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table" w:styleId="Tabellenraster">
    <w:name w:val="Table Grid"/>
    <w:basedOn w:val="NormaleTabelle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standardeinzugArial">
    <w:name w:val="Formatvorlage standardeinzug + Arial"/>
    <w:basedOn w:val="standardeinzug"/>
    <w:rPr>
      <w:rFonts w:ascii="Arial" w:hAnsi="Arial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pacing w:val="0"/>
      <w:sz w:val="32"/>
      <w:szCs w:val="3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ordan\Anwendungsdaten\Microsoft\Vorlagen\IUP\leer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43BC-8DE8-4BE2-A6A3-AC51DFCC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leervorlage.dot</Template>
  <TotalTime>0</TotalTime>
  <Pages>7</Pages>
  <Words>1209</Words>
  <Characters>9107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Musterbericht</vt:lpstr>
    </vt:vector>
  </TitlesOfParts>
  <Company>Ingenieurgemeinschaft Umweltprojekte ZT-GesmbH</Company>
  <LinksUpToDate>false</LinksUpToDate>
  <CharactersWithSpaces>10296</CharactersWithSpaces>
  <SharedDoc>false</SharedDoc>
  <HLinks>
    <vt:vector size="132" baseType="variant">
      <vt:variant>
        <vt:i4>1703984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_Toc252899997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_Toc252899996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_Toc252899995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_Toc252899994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_Toc252899993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_Toc252899992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_Toc252899991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_Toc252899990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_Toc252899989</vt:lpwstr>
      </vt:variant>
      <vt:variant>
        <vt:i4>1769520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_Toc252899988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_Toc252899987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_Toc252899986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_Toc252899985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_Toc252899984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_Toc252899983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_Toc252899982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_Toc252899981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_Toc252899980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_Toc252899979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_Toc252899978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_Toc252899977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_Toc252899976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Musterbericht</dc:title>
  <dc:subject>Muster Kollaudierung</dc:subject>
  <dc:creator>Hahn/IUP</dc:creator>
  <cp:keywords/>
  <dc:description/>
  <cp:lastModifiedBy>Kurfürst Ernst (WA4)</cp:lastModifiedBy>
  <cp:revision>11</cp:revision>
  <cp:lastPrinted>2010-02-02T17:51:00Z</cp:lastPrinted>
  <dcterms:created xsi:type="dcterms:W3CDTF">2023-03-15T14:17:00Z</dcterms:created>
  <dcterms:modified xsi:type="dcterms:W3CDTF">2023-07-06T12:00:00Z</dcterms:modified>
</cp:coreProperties>
</file>